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6" w:type="dxa"/>
        <w:jc w:val="center"/>
        <w:tblCellSpacing w:w="0" w:type="dxa"/>
        <w:shd w:val="clear" w:color="auto" w:fill="FFFFFF"/>
        <w:tblCellMar>
          <w:left w:w="0" w:type="dxa"/>
          <w:right w:w="0" w:type="dxa"/>
        </w:tblCellMar>
        <w:tblLook w:val="04A0" w:firstRow="1" w:lastRow="0" w:firstColumn="1" w:lastColumn="0" w:noHBand="0" w:noVBand="1"/>
      </w:tblPr>
      <w:tblGrid>
        <w:gridCol w:w="10086"/>
      </w:tblGrid>
      <w:tr w:rsidR="00383D68" w:rsidRPr="00383D68" w14:paraId="78393F06" w14:textId="77777777">
        <w:trPr>
          <w:tblCellSpacing w:w="0" w:type="dxa"/>
          <w:jc w:val="center"/>
        </w:trPr>
        <w:tc>
          <w:tcPr>
            <w:tcW w:w="0" w:type="auto"/>
            <w:shd w:val="clear" w:color="auto" w:fill="FFFFF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360"/>
            </w:tblGrid>
            <w:tr w:rsidR="00383D68" w:rsidRPr="00383D68" w14:paraId="68BB10C1" w14:textId="77777777">
              <w:trPr>
                <w:tblCellSpacing w:w="0" w:type="dxa"/>
                <w:jc w:val="center"/>
              </w:trPr>
              <w:tc>
                <w:tcPr>
                  <w:tcW w:w="9000" w:type="dxa"/>
                  <w:hideMark/>
                </w:tcPr>
                <w:tbl>
                  <w:tblPr>
                    <w:tblW w:w="9000" w:type="dxa"/>
                    <w:tblCellSpacing w:w="0" w:type="dxa"/>
                    <w:tblCellMar>
                      <w:left w:w="0" w:type="dxa"/>
                      <w:right w:w="0" w:type="dxa"/>
                    </w:tblCellMar>
                    <w:tblLook w:val="04A0" w:firstRow="1" w:lastRow="0" w:firstColumn="1" w:lastColumn="0" w:noHBand="0" w:noVBand="1"/>
                  </w:tblPr>
                  <w:tblGrid>
                    <w:gridCol w:w="9360"/>
                  </w:tblGrid>
                  <w:tr w:rsidR="00383D68" w:rsidRPr="00383D68" w14:paraId="4DFC2BCC" w14:textId="77777777">
                    <w:trPr>
                      <w:tblCellSpacing w:w="0" w:type="dxa"/>
                    </w:trPr>
                    <w:tc>
                      <w:tcPr>
                        <w:tcW w:w="9000" w:type="dxa"/>
                        <w:vAlign w:val="center"/>
                        <w:hideMark/>
                      </w:tcPr>
                      <w:p w14:paraId="4BB08571" w14:textId="6D328359" w:rsidR="00383D68" w:rsidRPr="00383D68" w:rsidRDefault="00383D68" w:rsidP="00383D68">
                        <w:r w:rsidRPr="00383D68">
                          <w:drawing>
                            <wp:inline distT="0" distB="0" distL="0" distR="0" wp14:anchorId="31633B96" wp14:editId="58E61486">
                              <wp:extent cx="5943600" cy="2226310"/>
                              <wp:effectExtent l="0" t="0" r="0" b="2540"/>
                              <wp:docPr id="459266869" name="Picture 24" descr="A city skyline at night&#10;&#10;AI-generated content may be incorrect.">
                                <a:hlinkClick xmlns:a="http://schemas.openxmlformats.org/drawingml/2006/main" r:id="rId5" tooltip="https://protect.checkpoint.com/v2/r01/___https:/go.reaganconsulting.com/e/898771/2025-12-11/31mk2fx/2057620350/h/kUFIEIGL_YXDTcoBNrQZ1jxYUFzizkdZ240ZH8eXd00___.YzJ1OmlpYXY6YzpvOmRiMjU1MjhiOTRjMDlkM2NmMmI3NmJkOTQzYTc1NTQ5Ojc6ZWRkZjo5ZjI2ZjBlOTY1MjI4ODNmNDU2OTc2MmNjZWE2N2Q4YTkzMTY2NGFiMGRkM2M5MDFmOWIwZTdkYThmNDM3NmI1Omg6VD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66869" name="Picture 24" descr="A city skyline at night&#10;&#10;AI-generated content may be incorrect.">
                                        <a:hlinkClick r:id="rId5" tooltip="https://protect.checkpoint.com/v2/r01/___https:/go.reaganconsulting.com/e/898771/2025-12-11/31mk2fx/2057620350/h/kUFIEIGL_YXDTcoBNrQZ1jxYUFzizkdZ240ZH8eXd00___.YzJ1OmlpYXY6YzpvOmRiMjU1MjhiOTRjMDlkM2NmMmI3NmJkOTQzYTc1NTQ5Ojc6ZWRkZjo5ZjI2ZjBlOTY1MjI4ODNmNDU2OTc2MmNjZWE2N2Q4YTkzMTY2NGFiMGRkM2M5MDFmOWIwZTdkYThmNDM3NmI1Omg6VDpG"/>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226310"/>
                                      </a:xfrm>
                                      <a:prstGeom prst="rect">
                                        <a:avLst/>
                                      </a:prstGeom>
                                      <a:noFill/>
                                      <a:ln>
                                        <a:noFill/>
                                      </a:ln>
                                    </pic:spPr>
                                  </pic:pic>
                                </a:graphicData>
                              </a:graphic>
                            </wp:inline>
                          </w:drawing>
                        </w:r>
                      </w:p>
                    </w:tc>
                  </w:tr>
                </w:tbl>
                <w:p w14:paraId="5E291297" w14:textId="77777777" w:rsidR="00383D68" w:rsidRPr="00383D68" w:rsidRDefault="00383D68" w:rsidP="00383D68"/>
              </w:tc>
            </w:tr>
          </w:tbl>
          <w:p w14:paraId="6B7EBD83" w14:textId="77777777" w:rsidR="00383D68" w:rsidRPr="00383D68" w:rsidRDefault="00383D68" w:rsidP="00383D68"/>
        </w:tc>
      </w:tr>
      <w:tr w:rsidR="00383D68" w:rsidRPr="00383D68" w14:paraId="53774C2E" w14:textId="77777777">
        <w:trPr>
          <w:tblCellSpacing w:w="0" w:type="dxa"/>
          <w:jc w:val="center"/>
        </w:trPr>
        <w:tc>
          <w:tcPr>
            <w:tcW w:w="0" w:type="auto"/>
            <w:shd w:val="clear" w:color="auto" w:fill="FFFFFF"/>
            <w:vAlign w:val="center"/>
            <w:hideMark/>
          </w:tcPr>
          <w:tbl>
            <w:tblPr>
              <w:tblW w:w="9000" w:type="dxa"/>
              <w:jc w:val="center"/>
              <w:tblCellSpacing w:w="0" w:type="dxa"/>
              <w:shd w:val="clear" w:color="auto" w:fill="DCE7F7"/>
              <w:tblCellMar>
                <w:left w:w="0" w:type="dxa"/>
                <w:right w:w="0" w:type="dxa"/>
              </w:tblCellMar>
              <w:tblLook w:val="04A0" w:firstRow="1" w:lastRow="0" w:firstColumn="1" w:lastColumn="0" w:noHBand="0" w:noVBand="1"/>
            </w:tblPr>
            <w:tblGrid>
              <w:gridCol w:w="9660"/>
            </w:tblGrid>
            <w:tr w:rsidR="00383D68" w:rsidRPr="00383D68" w14:paraId="6EC24547" w14:textId="77777777">
              <w:trPr>
                <w:tblCellSpacing w:w="0" w:type="dxa"/>
                <w:jc w:val="center"/>
              </w:trPr>
              <w:tc>
                <w:tcPr>
                  <w:tcW w:w="8700" w:type="dxa"/>
                  <w:shd w:val="clear" w:color="auto" w:fill="DCE7F7"/>
                  <w:tcMar>
                    <w:top w:w="150" w:type="dxa"/>
                    <w:left w:w="150" w:type="dxa"/>
                    <w:bottom w:w="150" w:type="dxa"/>
                    <w:right w:w="150" w:type="dxa"/>
                  </w:tcMar>
                  <w:hideMark/>
                </w:tcPr>
                <w:tbl>
                  <w:tblPr>
                    <w:tblW w:w="8700" w:type="dxa"/>
                    <w:tblCellSpacing w:w="0" w:type="dxa"/>
                    <w:tblCellMar>
                      <w:left w:w="0" w:type="dxa"/>
                      <w:right w:w="0" w:type="dxa"/>
                    </w:tblCellMar>
                    <w:tblLook w:val="04A0" w:firstRow="1" w:lastRow="0" w:firstColumn="1" w:lastColumn="0" w:noHBand="0" w:noVBand="1"/>
                  </w:tblPr>
                  <w:tblGrid>
                    <w:gridCol w:w="8700"/>
                  </w:tblGrid>
                  <w:tr w:rsidR="00383D68" w:rsidRPr="00383D68" w14:paraId="71CDCD61" w14:textId="77777777">
                    <w:trPr>
                      <w:tblCellSpacing w:w="0" w:type="dxa"/>
                    </w:trPr>
                    <w:tc>
                      <w:tcPr>
                        <w:tcW w:w="0" w:type="auto"/>
                        <w:tcMar>
                          <w:top w:w="150" w:type="dxa"/>
                          <w:left w:w="150" w:type="dxa"/>
                          <w:bottom w:w="0" w:type="dxa"/>
                          <w:right w:w="450" w:type="dxa"/>
                        </w:tcMar>
                        <w:vAlign w:val="center"/>
                        <w:hideMark/>
                      </w:tcPr>
                      <w:p w14:paraId="2A53F43F" w14:textId="7627E0C4" w:rsidR="00383D68" w:rsidRPr="00383D68" w:rsidRDefault="00383D68" w:rsidP="00383D68">
                        <w:r w:rsidRPr="00383D68">
                          <w:t> </w:t>
                        </w:r>
                        <w:r w:rsidRPr="00383D68">
                          <w:rPr>
                            <w:i/>
                            <w:iCs/>
                          </w:rPr>
                          <w:t>December 11, 2025</w:t>
                        </w:r>
                      </w:p>
                    </w:tc>
                  </w:tr>
                </w:tbl>
                <w:p w14:paraId="7F4D00CA" w14:textId="77777777" w:rsidR="00383D68" w:rsidRPr="00383D68" w:rsidRDefault="00383D68" w:rsidP="00383D68">
                  <w:pPr>
                    <w:rPr>
                      <w:vanish/>
                    </w:rPr>
                  </w:pPr>
                </w:p>
                <w:tbl>
                  <w:tblPr>
                    <w:tblW w:w="8700" w:type="dxa"/>
                    <w:tblCellSpacing w:w="0" w:type="dxa"/>
                    <w:tblCellMar>
                      <w:left w:w="0" w:type="dxa"/>
                      <w:right w:w="0" w:type="dxa"/>
                    </w:tblCellMar>
                    <w:tblLook w:val="04A0" w:firstRow="1" w:lastRow="0" w:firstColumn="1" w:lastColumn="0" w:noHBand="0" w:noVBand="1"/>
                  </w:tblPr>
                  <w:tblGrid>
                    <w:gridCol w:w="8700"/>
                  </w:tblGrid>
                  <w:tr w:rsidR="00383D68" w:rsidRPr="00383D68" w14:paraId="315DAAF3" w14:textId="77777777">
                    <w:trPr>
                      <w:tblCellSpacing w:w="0" w:type="dxa"/>
                    </w:trPr>
                    <w:tc>
                      <w:tcPr>
                        <w:tcW w:w="0" w:type="auto"/>
                        <w:tcMar>
                          <w:top w:w="225" w:type="dxa"/>
                          <w:left w:w="150" w:type="dxa"/>
                          <w:bottom w:w="150" w:type="dxa"/>
                          <w:right w:w="150" w:type="dxa"/>
                        </w:tcMar>
                        <w:vAlign w:val="center"/>
                        <w:hideMark/>
                      </w:tcPr>
                      <w:p w14:paraId="48243DA4" w14:textId="77777777" w:rsidR="00383D68" w:rsidRPr="00383D68" w:rsidRDefault="00383D68" w:rsidP="00383D68">
                        <w:r w:rsidRPr="00383D68">
                          <w:rPr>
                            <w:b/>
                            <w:bCs/>
                          </w:rPr>
                          <w:t>The 2025 M&amp;A Environment</w:t>
                        </w:r>
                      </w:p>
                    </w:tc>
                  </w:tr>
                </w:tbl>
                <w:p w14:paraId="7173F51B" w14:textId="77777777" w:rsidR="00383D68" w:rsidRPr="00383D68" w:rsidRDefault="00383D68" w:rsidP="00383D68">
                  <w:r w:rsidRPr="00383D68">
                    <w:t> </w:t>
                  </w:r>
                </w:p>
                <w:tbl>
                  <w:tblPr>
                    <w:tblW w:w="8700" w:type="dxa"/>
                    <w:tblCellSpacing w:w="0" w:type="dxa"/>
                    <w:tblCellMar>
                      <w:left w:w="0" w:type="dxa"/>
                      <w:right w:w="0" w:type="dxa"/>
                    </w:tblCellMar>
                    <w:tblLook w:val="04A0" w:firstRow="1" w:lastRow="0" w:firstColumn="1" w:lastColumn="0" w:noHBand="0" w:noVBand="1"/>
                  </w:tblPr>
                  <w:tblGrid>
                    <w:gridCol w:w="8700"/>
                  </w:tblGrid>
                  <w:tr w:rsidR="00383D68" w:rsidRPr="00383D68" w14:paraId="1EEAD079" w14:textId="77777777">
                    <w:trPr>
                      <w:tblCellSpacing w:w="0" w:type="dxa"/>
                    </w:trPr>
                    <w:tc>
                      <w:tcPr>
                        <w:tcW w:w="0" w:type="auto"/>
                        <w:tcMar>
                          <w:top w:w="150" w:type="dxa"/>
                          <w:left w:w="150" w:type="dxa"/>
                          <w:bottom w:w="225" w:type="dxa"/>
                          <w:right w:w="150" w:type="dxa"/>
                        </w:tcMar>
                        <w:vAlign w:val="center"/>
                        <w:hideMark/>
                      </w:tcPr>
                      <w:tbl>
                        <w:tblPr>
                          <w:tblW w:w="7980" w:type="dxa"/>
                          <w:jc w:val="center"/>
                          <w:tblCellSpacing w:w="0" w:type="dxa"/>
                          <w:tblCellMar>
                            <w:left w:w="0" w:type="dxa"/>
                            <w:right w:w="0" w:type="dxa"/>
                          </w:tblCellMar>
                          <w:tblLook w:val="04A0" w:firstRow="1" w:lastRow="0" w:firstColumn="1" w:lastColumn="0" w:noHBand="0" w:noVBand="1"/>
                        </w:tblPr>
                        <w:tblGrid>
                          <w:gridCol w:w="7980"/>
                        </w:tblGrid>
                        <w:tr w:rsidR="00383D68" w:rsidRPr="00383D68" w14:paraId="70639B52" w14:textId="77777777">
                          <w:trPr>
                            <w:tblCellSpacing w:w="0" w:type="dxa"/>
                            <w:jc w:val="center"/>
                          </w:trPr>
                          <w:tc>
                            <w:tcPr>
                              <w:tcW w:w="0" w:type="auto"/>
                              <w:tcBorders>
                                <w:top w:val="single" w:sz="18" w:space="0" w:color="000000"/>
                                <w:left w:val="nil"/>
                                <w:bottom w:val="nil"/>
                                <w:right w:val="nil"/>
                              </w:tcBorders>
                              <w:vAlign w:val="center"/>
                              <w:hideMark/>
                            </w:tcPr>
                            <w:p w14:paraId="088EFBEE" w14:textId="77777777" w:rsidR="00383D68" w:rsidRPr="00383D68" w:rsidRDefault="00383D68" w:rsidP="00383D68">
                              <w:r w:rsidRPr="00383D68">
                                <w:rPr>
                                  <w:rFonts w:ascii="Arial" w:hAnsi="Arial" w:cs="Arial"/>
                                </w:rPr>
                                <w:t> </w:t>
                              </w:r>
                            </w:p>
                          </w:tc>
                        </w:tr>
                      </w:tbl>
                      <w:p w14:paraId="384A8C08" w14:textId="77777777" w:rsidR="00383D68" w:rsidRPr="00383D68" w:rsidRDefault="00383D68" w:rsidP="00383D68"/>
                    </w:tc>
                  </w:tr>
                </w:tbl>
                <w:p w14:paraId="314C62F6" w14:textId="77777777" w:rsidR="00383D68" w:rsidRPr="00383D68" w:rsidRDefault="00383D68" w:rsidP="00383D68">
                  <w:pPr>
                    <w:rPr>
                      <w:vanish/>
                    </w:rPr>
                  </w:pPr>
                </w:p>
                <w:tbl>
                  <w:tblPr>
                    <w:tblW w:w="8700" w:type="dxa"/>
                    <w:tblCellSpacing w:w="0" w:type="dxa"/>
                    <w:tblCellMar>
                      <w:left w:w="0" w:type="dxa"/>
                      <w:right w:w="0" w:type="dxa"/>
                    </w:tblCellMar>
                    <w:tblLook w:val="04A0" w:firstRow="1" w:lastRow="0" w:firstColumn="1" w:lastColumn="0" w:noHBand="0" w:noVBand="1"/>
                  </w:tblPr>
                  <w:tblGrid>
                    <w:gridCol w:w="8700"/>
                  </w:tblGrid>
                  <w:tr w:rsidR="00383D68" w:rsidRPr="00383D68" w14:paraId="0F270425" w14:textId="77777777">
                    <w:trPr>
                      <w:tblCellSpacing w:w="0" w:type="dxa"/>
                    </w:trPr>
                    <w:tc>
                      <w:tcPr>
                        <w:tcW w:w="0" w:type="auto"/>
                        <w:tcMar>
                          <w:top w:w="120" w:type="dxa"/>
                          <w:left w:w="120" w:type="dxa"/>
                          <w:bottom w:w="120" w:type="dxa"/>
                          <w:right w:w="120" w:type="dxa"/>
                        </w:tcMar>
                        <w:vAlign w:val="center"/>
                        <w:hideMark/>
                      </w:tcPr>
                      <w:p w14:paraId="5A7D4943" w14:textId="77777777" w:rsidR="00383D68" w:rsidRPr="00383D68" w:rsidRDefault="00383D68" w:rsidP="00383D68">
                        <w:r w:rsidRPr="00383D68">
                          <w:t xml:space="preserve">Headliner deals in 2025 continued the trend of blockbuster acquisitions in the US insurance distribution system. Arthur J. Gallagher acquired Woodruff Sawyer in April. Brown &amp; Brown acquired Accession (Risk Strategies / 180 Intermediaries) in August. IOA received </w:t>
                        </w:r>
                        <w:proofErr w:type="gramStart"/>
                        <w:r w:rsidRPr="00383D68">
                          <w:t>a majority</w:t>
                        </w:r>
                        <w:proofErr w:type="gramEnd"/>
                        <w:r w:rsidRPr="00383D68">
                          <w:t xml:space="preserve"> investment from MDP and </w:t>
                        </w:r>
                        <w:proofErr w:type="spellStart"/>
                        <w:r w:rsidRPr="00383D68">
                          <w:t>Navacord</w:t>
                        </w:r>
                        <w:proofErr w:type="spellEnd"/>
                        <w:r w:rsidRPr="00383D68">
                          <w:t xml:space="preserve"> in November. The Baldwin Group announced an acquisition of CAC Group that is expected to close in 2026. Also announced in December, Willis Tower Watson’s acquisition of Newfront is expected to close in Q1 2026. </w:t>
                        </w:r>
                        <w:proofErr w:type="gramStart"/>
                        <w:r w:rsidRPr="00383D68">
                          <w:t>All of</w:t>
                        </w:r>
                        <w:proofErr w:type="gramEnd"/>
                        <w:r w:rsidRPr="00383D68">
                          <w:t xml:space="preserve"> these deals had enterprise values over $1 billion, with the Accession deal approaching $10 billion.</w:t>
                        </w:r>
                      </w:p>
                      <w:p w14:paraId="13707DA3" w14:textId="77777777" w:rsidR="00383D68" w:rsidRPr="00383D68" w:rsidRDefault="00383D68" w:rsidP="00383D68">
                        <w:r w:rsidRPr="00383D68">
                          <w:t> </w:t>
                        </w:r>
                      </w:p>
                      <w:p w14:paraId="5D909813" w14:textId="77777777" w:rsidR="00383D68" w:rsidRPr="00383D68" w:rsidRDefault="00383D68" w:rsidP="00383D68">
                        <w:r w:rsidRPr="00383D68">
                          <w:t xml:space="preserve">These announcements, though, aren’t the only story of insurance broker M&amp;A in 2025. The other story is about the reported decline in overall deal volume. Through November 2025, announced deals were down over 25% from 2024, according to S&amp;P Market Intelligence. In fact, only 385 deals had been announced through November, making it the lowest year-to-date total since 2014. With data like this, </w:t>
                        </w:r>
                        <w:r w:rsidRPr="00383D68">
                          <w:lastRenderedPageBreak/>
                          <w:t>are we at a point where consolidation is slowing? Is the frenzied pace of broker M&amp;A finally calming down?</w:t>
                        </w:r>
                      </w:p>
                    </w:tc>
                  </w:tr>
                </w:tbl>
                <w:p w14:paraId="66D6C0DA" w14:textId="77777777" w:rsidR="00383D68" w:rsidRPr="00383D68" w:rsidRDefault="00383D68" w:rsidP="00383D68">
                  <w:pPr>
                    <w:rPr>
                      <w:vanish/>
                    </w:rPr>
                  </w:pPr>
                </w:p>
                <w:tbl>
                  <w:tblPr>
                    <w:tblW w:w="8700" w:type="dxa"/>
                    <w:tblCellSpacing w:w="0" w:type="dxa"/>
                    <w:tblCellMar>
                      <w:left w:w="0" w:type="dxa"/>
                      <w:right w:w="0" w:type="dxa"/>
                    </w:tblCellMar>
                    <w:tblLook w:val="04A0" w:firstRow="1" w:lastRow="0" w:firstColumn="1" w:lastColumn="0" w:noHBand="0" w:noVBand="1"/>
                  </w:tblPr>
                  <w:tblGrid>
                    <w:gridCol w:w="8700"/>
                  </w:tblGrid>
                  <w:tr w:rsidR="00383D68" w:rsidRPr="00383D68" w14:paraId="49FC760C" w14:textId="77777777">
                    <w:trPr>
                      <w:tblCellSpacing w:w="0" w:type="dxa"/>
                    </w:trPr>
                    <w:tc>
                      <w:tcPr>
                        <w:tcW w:w="0" w:type="auto"/>
                        <w:tcMar>
                          <w:top w:w="300" w:type="dxa"/>
                          <w:left w:w="300" w:type="dxa"/>
                          <w:bottom w:w="150" w:type="dxa"/>
                          <w:right w:w="300" w:type="dxa"/>
                        </w:tcMar>
                        <w:vAlign w:val="center"/>
                        <w:hideMark/>
                      </w:tcPr>
                      <w:p w14:paraId="57B15AFD" w14:textId="77777777" w:rsidR="00383D68" w:rsidRPr="00383D68" w:rsidRDefault="00383D68" w:rsidP="00383D68">
                        <w:r w:rsidRPr="00383D68">
                          <w:rPr>
                            <w:b/>
                            <w:bCs/>
                          </w:rPr>
                          <w:t>2025 Broker M&amp;A: High profile deals continue while overall volume declines</w:t>
                        </w:r>
                      </w:p>
                    </w:tc>
                  </w:tr>
                </w:tbl>
                <w:p w14:paraId="754997E7" w14:textId="77777777" w:rsidR="00383D68" w:rsidRPr="00383D68" w:rsidRDefault="00383D68" w:rsidP="00383D68">
                  <w:pPr>
                    <w:rPr>
                      <w:vanish/>
                    </w:rPr>
                  </w:pPr>
                </w:p>
                <w:tbl>
                  <w:tblPr>
                    <w:tblW w:w="8700" w:type="dxa"/>
                    <w:tblCellSpacing w:w="0" w:type="dxa"/>
                    <w:tblCellMar>
                      <w:left w:w="0" w:type="dxa"/>
                      <w:right w:w="0" w:type="dxa"/>
                    </w:tblCellMar>
                    <w:tblLook w:val="04A0" w:firstRow="1" w:lastRow="0" w:firstColumn="1" w:lastColumn="0" w:noHBand="0" w:noVBand="1"/>
                  </w:tblPr>
                  <w:tblGrid>
                    <w:gridCol w:w="8700"/>
                  </w:tblGrid>
                  <w:tr w:rsidR="00383D68" w:rsidRPr="00383D68" w14:paraId="1E8AC93D" w14:textId="77777777">
                    <w:trPr>
                      <w:tblCellSpacing w:w="0" w:type="dxa"/>
                    </w:trPr>
                    <w:tc>
                      <w:tcPr>
                        <w:tcW w:w="0" w:type="auto"/>
                        <w:tcMar>
                          <w:top w:w="150" w:type="dxa"/>
                          <w:left w:w="150" w:type="dxa"/>
                          <w:bottom w:w="300" w:type="dxa"/>
                          <w:right w:w="150" w:type="dxa"/>
                        </w:tcMar>
                        <w:vAlign w:val="center"/>
                        <w:hideMark/>
                      </w:tcPr>
                      <w:p w14:paraId="23556830" w14:textId="77777777" w:rsidR="00383D68" w:rsidRPr="00383D68" w:rsidRDefault="00383D68" w:rsidP="00383D68">
                        <w:r w:rsidRPr="00383D68">
                          <w:rPr>
                            <w:i/>
                            <w:iCs/>
                          </w:rPr>
                          <w:t>Large Deals Made Headlines in 2025 …</w:t>
                        </w:r>
                      </w:p>
                    </w:tc>
                  </w:tr>
                </w:tbl>
                <w:p w14:paraId="4D56EDCB" w14:textId="77777777" w:rsidR="00383D68" w:rsidRPr="00383D68" w:rsidRDefault="00383D68" w:rsidP="00383D68">
                  <w:pPr>
                    <w:rPr>
                      <w:vanish/>
                    </w:rPr>
                  </w:pPr>
                </w:p>
                <w:tbl>
                  <w:tblPr>
                    <w:tblW w:w="8700" w:type="dxa"/>
                    <w:tblCellSpacing w:w="0" w:type="dxa"/>
                    <w:tblCellMar>
                      <w:left w:w="0" w:type="dxa"/>
                      <w:right w:w="0" w:type="dxa"/>
                    </w:tblCellMar>
                    <w:tblLook w:val="04A0" w:firstRow="1" w:lastRow="0" w:firstColumn="1" w:lastColumn="0" w:noHBand="0" w:noVBand="1"/>
                  </w:tblPr>
                  <w:tblGrid>
                    <w:gridCol w:w="9360"/>
                  </w:tblGrid>
                  <w:tr w:rsidR="00383D68" w:rsidRPr="00383D68" w14:paraId="2185D8D1" w14:textId="77777777">
                    <w:trPr>
                      <w:tblCellSpacing w:w="0" w:type="dxa"/>
                    </w:trPr>
                    <w:tc>
                      <w:tcPr>
                        <w:tcW w:w="8700" w:type="dxa"/>
                        <w:vAlign w:val="center"/>
                        <w:hideMark/>
                      </w:tcPr>
                      <w:p w14:paraId="1AED6D46" w14:textId="26E41E1F" w:rsidR="00383D68" w:rsidRPr="00383D68" w:rsidRDefault="00383D68" w:rsidP="00383D68">
                        <w:r w:rsidRPr="00383D68">
                          <w:drawing>
                            <wp:inline distT="0" distB="0" distL="0" distR="0" wp14:anchorId="46F1B193" wp14:editId="384F13C9">
                              <wp:extent cx="5943600" cy="2580005"/>
                              <wp:effectExtent l="0" t="0" r="0" b="0"/>
                              <wp:docPr id="672006490" name="Picture 23" descr="A group of logo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06490" name="Picture 23" descr="A group of logos on a tabl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580005"/>
                                      </a:xfrm>
                                      <a:prstGeom prst="rect">
                                        <a:avLst/>
                                      </a:prstGeom>
                                      <a:noFill/>
                                      <a:ln>
                                        <a:noFill/>
                                      </a:ln>
                                    </pic:spPr>
                                  </pic:pic>
                                </a:graphicData>
                              </a:graphic>
                            </wp:inline>
                          </w:drawing>
                        </w:r>
                      </w:p>
                    </w:tc>
                  </w:tr>
                </w:tbl>
                <w:p w14:paraId="26DBA138" w14:textId="77777777" w:rsidR="00383D68" w:rsidRPr="00383D68" w:rsidRDefault="00383D68" w:rsidP="00383D68">
                  <w:pPr>
                    <w:rPr>
                      <w:vanish/>
                    </w:rPr>
                  </w:pPr>
                </w:p>
                <w:tbl>
                  <w:tblPr>
                    <w:tblW w:w="8700" w:type="dxa"/>
                    <w:tblCellSpacing w:w="0" w:type="dxa"/>
                    <w:tblCellMar>
                      <w:left w:w="0" w:type="dxa"/>
                      <w:right w:w="0" w:type="dxa"/>
                    </w:tblCellMar>
                    <w:tblLook w:val="04A0" w:firstRow="1" w:lastRow="0" w:firstColumn="1" w:lastColumn="0" w:noHBand="0" w:noVBand="1"/>
                  </w:tblPr>
                  <w:tblGrid>
                    <w:gridCol w:w="8700"/>
                  </w:tblGrid>
                  <w:tr w:rsidR="00383D68" w:rsidRPr="00383D68" w14:paraId="5E11C57B" w14:textId="77777777">
                    <w:trPr>
                      <w:tblCellSpacing w:w="0" w:type="dxa"/>
                    </w:trPr>
                    <w:tc>
                      <w:tcPr>
                        <w:tcW w:w="0" w:type="auto"/>
                        <w:tcMar>
                          <w:top w:w="300" w:type="dxa"/>
                          <w:left w:w="150" w:type="dxa"/>
                          <w:bottom w:w="300" w:type="dxa"/>
                          <w:right w:w="150" w:type="dxa"/>
                        </w:tcMar>
                        <w:vAlign w:val="center"/>
                        <w:hideMark/>
                      </w:tcPr>
                      <w:p w14:paraId="52C4AC45" w14:textId="77777777" w:rsidR="00383D68" w:rsidRPr="00383D68" w:rsidRDefault="00383D68" w:rsidP="00383D68">
                        <w:r w:rsidRPr="00383D68">
                          <w:rPr>
                            <w:i/>
                            <w:iCs/>
                          </w:rPr>
                          <w:t>… while Total Announced Deals are the Lowest Since 2014</w:t>
                        </w:r>
                      </w:p>
                    </w:tc>
                  </w:tr>
                </w:tbl>
                <w:p w14:paraId="6AD1E788" w14:textId="77777777" w:rsidR="00383D68" w:rsidRPr="00383D68" w:rsidRDefault="00383D68" w:rsidP="00383D68">
                  <w:pPr>
                    <w:rPr>
                      <w:vanish/>
                    </w:rPr>
                  </w:pPr>
                </w:p>
                <w:tbl>
                  <w:tblPr>
                    <w:tblW w:w="8700" w:type="dxa"/>
                    <w:tblCellSpacing w:w="0" w:type="dxa"/>
                    <w:tblCellMar>
                      <w:left w:w="0" w:type="dxa"/>
                      <w:right w:w="0" w:type="dxa"/>
                    </w:tblCellMar>
                    <w:tblLook w:val="04A0" w:firstRow="1" w:lastRow="0" w:firstColumn="1" w:lastColumn="0" w:noHBand="0" w:noVBand="1"/>
                  </w:tblPr>
                  <w:tblGrid>
                    <w:gridCol w:w="9360"/>
                  </w:tblGrid>
                  <w:tr w:rsidR="00383D68" w:rsidRPr="00383D68" w14:paraId="18999EB7" w14:textId="77777777">
                    <w:trPr>
                      <w:tblCellSpacing w:w="0" w:type="dxa"/>
                    </w:trPr>
                    <w:tc>
                      <w:tcPr>
                        <w:tcW w:w="8700" w:type="dxa"/>
                        <w:vAlign w:val="center"/>
                        <w:hideMark/>
                      </w:tcPr>
                      <w:p w14:paraId="11AC432C" w14:textId="3D38944D" w:rsidR="00383D68" w:rsidRPr="00383D68" w:rsidRDefault="00383D68" w:rsidP="00383D68">
                        <w:r w:rsidRPr="00383D68">
                          <w:lastRenderedPageBreak/>
                          <w:drawing>
                            <wp:inline distT="0" distB="0" distL="0" distR="0" wp14:anchorId="41362434" wp14:editId="4CB6C5B5">
                              <wp:extent cx="5943600" cy="3456940"/>
                              <wp:effectExtent l="0" t="0" r="0" b="0"/>
                              <wp:docPr id="1246784905" name="Picture 22" descr="A graph with numb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784905" name="Picture 22" descr="A graph with numbers and numbe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56940"/>
                                      </a:xfrm>
                                      <a:prstGeom prst="rect">
                                        <a:avLst/>
                                      </a:prstGeom>
                                      <a:noFill/>
                                      <a:ln>
                                        <a:noFill/>
                                      </a:ln>
                                    </pic:spPr>
                                  </pic:pic>
                                </a:graphicData>
                              </a:graphic>
                            </wp:inline>
                          </w:drawing>
                        </w:r>
                      </w:p>
                    </w:tc>
                  </w:tr>
                </w:tbl>
                <w:p w14:paraId="586AA101" w14:textId="77777777" w:rsidR="00383D68" w:rsidRPr="00383D68" w:rsidRDefault="00383D68" w:rsidP="00383D68">
                  <w:pPr>
                    <w:rPr>
                      <w:vanish/>
                    </w:rPr>
                  </w:pPr>
                </w:p>
                <w:tbl>
                  <w:tblPr>
                    <w:tblW w:w="8700" w:type="dxa"/>
                    <w:tblCellSpacing w:w="0" w:type="dxa"/>
                    <w:tblCellMar>
                      <w:left w:w="0" w:type="dxa"/>
                      <w:right w:w="0" w:type="dxa"/>
                    </w:tblCellMar>
                    <w:tblLook w:val="04A0" w:firstRow="1" w:lastRow="0" w:firstColumn="1" w:lastColumn="0" w:noHBand="0" w:noVBand="1"/>
                  </w:tblPr>
                  <w:tblGrid>
                    <w:gridCol w:w="8700"/>
                  </w:tblGrid>
                  <w:tr w:rsidR="00383D68" w:rsidRPr="00383D68" w14:paraId="2273EDC5" w14:textId="77777777">
                    <w:trPr>
                      <w:tblCellSpacing w:w="0" w:type="dxa"/>
                    </w:trPr>
                    <w:tc>
                      <w:tcPr>
                        <w:tcW w:w="0" w:type="auto"/>
                        <w:tcMar>
                          <w:top w:w="120" w:type="dxa"/>
                          <w:left w:w="120" w:type="dxa"/>
                          <w:bottom w:w="120" w:type="dxa"/>
                          <w:right w:w="120" w:type="dxa"/>
                        </w:tcMar>
                        <w:vAlign w:val="center"/>
                        <w:hideMark/>
                      </w:tcPr>
                      <w:p w14:paraId="0DAF8AFE" w14:textId="77777777" w:rsidR="00383D68" w:rsidRPr="00383D68" w:rsidRDefault="00383D68" w:rsidP="00383D68">
                        <w:r w:rsidRPr="00383D68">
                          <w:rPr>
                            <w:i/>
                            <w:iCs/>
                          </w:rPr>
                          <w:t>Source: Press releases, S&amp;P Market Intelligence</w:t>
                        </w:r>
                      </w:p>
                    </w:tc>
                  </w:tr>
                </w:tbl>
                <w:p w14:paraId="54755A95" w14:textId="77777777" w:rsidR="00383D68" w:rsidRPr="00383D68" w:rsidRDefault="00383D68" w:rsidP="00383D68">
                  <w:pPr>
                    <w:rPr>
                      <w:vanish/>
                    </w:rPr>
                  </w:pPr>
                </w:p>
                <w:tbl>
                  <w:tblPr>
                    <w:tblW w:w="8700" w:type="dxa"/>
                    <w:tblCellSpacing w:w="0" w:type="dxa"/>
                    <w:tblCellMar>
                      <w:left w:w="0" w:type="dxa"/>
                      <w:right w:w="0" w:type="dxa"/>
                    </w:tblCellMar>
                    <w:tblLook w:val="04A0" w:firstRow="1" w:lastRow="0" w:firstColumn="1" w:lastColumn="0" w:noHBand="0" w:noVBand="1"/>
                  </w:tblPr>
                  <w:tblGrid>
                    <w:gridCol w:w="8700"/>
                  </w:tblGrid>
                  <w:tr w:rsidR="00383D68" w:rsidRPr="00383D68" w14:paraId="4C143E0C" w14:textId="77777777">
                    <w:trPr>
                      <w:tblCellSpacing w:w="0" w:type="dxa"/>
                    </w:trPr>
                    <w:tc>
                      <w:tcPr>
                        <w:tcW w:w="0" w:type="auto"/>
                        <w:tcMar>
                          <w:top w:w="120" w:type="dxa"/>
                          <w:left w:w="120" w:type="dxa"/>
                          <w:bottom w:w="120" w:type="dxa"/>
                          <w:right w:w="120" w:type="dxa"/>
                        </w:tcMar>
                        <w:vAlign w:val="center"/>
                        <w:hideMark/>
                      </w:tcPr>
                      <w:p w14:paraId="3520F2ED" w14:textId="77777777" w:rsidR="00383D68" w:rsidRPr="00383D68" w:rsidRDefault="00383D68" w:rsidP="00383D68">
                        <w:r w:rsidRPr="00383D68">
                          <w:t>The answer is yes and no, as several factors are driving the trends in announced deals.</w:t>
                        </w:r>
                      </w:p>
                    </w:tc>
                  </w:tr>
                </w:tbl>
                <w:p w14:paraId="3F9D24EE" w14:textId="77777777" w:rsidR="00383D68" w:rsidRPr="00383D68" w:rsidRDefault="00383D68" w:rsidP="00383D68">
                  <w:pPr>
                    <w:rPr>
                      <w:vanish/>
                    </w:rPr>
                  </w:pPr>
                </w:p>
                <w:tbl>
                  <w:tblPr>
                    <w:tblW w:w="8700" w:type="dxa"/>
                    <w:tblCellSpacing w:w="0" w:type="dxa"/>
                    <w:tblCellMar>
                      <w:left w:w="0" w:type="dxa"/>
                      <w:right w:w="0" w:type="dxa"/>
                    </w:tblCellMar>
                    <w:tblLook w:val="04A0" w:firstRow="1" w:lastRow="0" w:firstColumn="1" w:lastColumn="0" w:noHBand="0" w:noVBand="1"/>
                  </w:tblPr>
                  <w:tblGrid>
                    <w:gridCol w:w="8700"/>
                  </w:tblGrid>
                  <w:tr w:rsidR="00383D68" w:rsidRPr="00383D68" w14:paraId="315C4E8C" w14:textId="77777777">
                    <w:trPr>
                      <w:tblCellSpacing w:w="0" w:type="dxa"/>
                    </w:trPr>
                    <w:tc>
                      <w:tcPr>
                        <w:tcW w:w="0" w:type="auto"/>
                        <w:tcMar>
                          <w:top w:w="120" w:type="dxa"/>
                          <w:left w:w="120" w:type="dxa"/>
                          <w:bottom w:w="120" w:type="dxa"/>
                          <w:right w:w="120" w:type="dxa"/>
                        </w:tcMar>
                        <w:vAlign w:val="center"/>
                        <w:hideMark/>
                      </w:tcPr>
                      <w:p w14:paraId="0A9E9EBF" w14:textId="77777777" w:rsidR="00383D68" w:rsidRPr="00383D68" w:rsidRDefault="00383D68" w:rsidP="00383D68">
                        <w:pPr>
                          <w:numPr>
                            <w:ilvl w:val="0"/>
                            <w:numId w:val="1"/>
                          </w:numPr>
                        </w:pPr>
                        <w:r w:rsidRPr="00383D68">
                          <w:rPr>
                            <w:i/>
                            <w:iCs/>
                          </w:rPr>
                          <w:t>Deal announcements are out of fashion</w:t>
                        </w:r>
                        <w:r w:rsidRPr="00383D68">
                          <w:t>. Buyers have different philosophies on publicizing transactions. For many acquirors, doing deals is still a priority, but announcing those deals is not. Whether for competitive reasons or for a desire to stay under the radar, several high-volume buyers have opted out of M&amp;A press releases. This phenomenon understates the actual M&amp;A activity in our industry. And while the announced deals have always represented a percentage of total deal volume, we believe that percentage is decreasing.</w:t>
                        </w:r>
                      </w:p>
                      <w:p w14:paraId="023CC887" w14:textId="77777777" w:rsidR="00383D68" w:rsidRPr="00383D68" w:rsidRDefault="00383D68" w:rsidP="00383D68">
                        <w:pPr>
                          <w:numPr>
                            <w:ilvl w:val="0"/>
                            <w:numId w:val="1"/>
                          </w:numPr>
                        </w:pPr>
                        <w:r w:rsidRPr="00383D68">
                          <w:rPr>
                            <w:i/>
                            <w:iCs/>
                          </w:rPr>
                          <w:t>The supply side of the deal equation isn’t quite what it used to be</w:t>
                        </w:r>
                        <w:r w:rsidRPr="00383D68">
                          <w:t xml:space="preserve">. Any market requires supply and demand, but the consistently high level of M&amp;A activity has thinned out the supply side of the insurance distribution M&amp;A market. This is especially true of the most attractive segment of the market for many buyers – firms over $10 million in revenue. These firms are highly sought after for the scale and talent they bring to buyers – they can be </w:t>
                        </w:r>
                        <w:r w:rsidRPr="00383D68">
                          <w:lastRenderedPageBreak/>
                          <w:t>platforms in a new geography or specialization. However, many of these firms have been acquired over the last five years and the next generation of $10 million + firms is under construction. Without the supply of the most attractive set of firms, overall market activity has slowed.</w:t>
                        </w:r>
                      </w:p>
                      <w:p w14:paraId="70E58CED" w14:textId="77777777" w:rsidR="00383D68" w:rsidRPr="00383D68" w:rsidRDefault="00383D68" w:rsidP="00383D68">
                        <w:pPr>
                          <w:numPr>
                            <w:ilvl w:val="0"/>
                            <w:numId w:val="1"/>
                          </w:numPr>
                        </w:pPr>
                        <w:r w:rsidRPr="00383D68">
                          <w:rPr>
                            <w:i/>
                            <w:iCs/>
                          </w:rPr>
                          <w:t>The demand side also has some challenges</w:t>
                        </w:r>
                        <w:r w:rsidRPr="00383D68">
                          <w:t>. Compared to any period prior to ten years ago, the demand side of the equation is still incredibly strong. However, we believe demand has ebbed slightly from its peak 4-5 years ago. The cooling in demand has been caused by two main factors. First, some of the large acquirors have been taken out of the market because they themselves have been acquired. Assured Partners and Accession, especially, were high volume buyers that are now consolidated within Gallagher and Brown &amp; Brown. Second, investors have increasingly encouraged management teams to focus on integration and de-leveraging instead of revenue aggregation, shifting attention away from M&amp;A. We’re still firmly in a sellers’ market, but it isn’t quite as dramatic as it was in 2021.</w:t>
                        </w:r>
                      </w:p>
                    </w:tc>
                  </w:tr>
                </w:tbl>
                <w:p w14:paraId="3D3E1160" w14:textId="77777777" w:rsidR="00383D68" w:rsidRPr="00383D68" w:rsidRDefault="00383D68" w:rsidP="00383D68">
                  <w:pPr>
                    <w:rPr>
                      <w:vanish/>
                    </w:rPr>
                  </w:pPr>
                </w:p>
                <w:tbl>
                  <w:tblPr>
                    <w:tblW w:w="8700" w:type="dxa"/>
                    <w:tblCellSpacing w:w="0" w:type="dxa"/>
                    <w:tblCellMar>
                      <w:left w:w="0" w:type="dxa"/>
                      <w:right w:w="0" w:type="dxa"/>
                    </w:tblCellMar>
                    <w:tblLook w:val="04A0" w:firstRow="1" w:lastRow="0" w:firstColumn="1" w:lastColumn="0" w:noHBand="0" w:noVBand="1"/>
                  </w:tblPr>
                  <w:tblGrid>
                    <w:gridCol w:w="8700"/>
                  </w:tblGrid>
                  <w:tr w:rsidR="00383D68" w:rsidRPr="00383D68" w14:paraId="5AC6D51D" w14:textId="77777777">
                    <w:trPr>
                      <w:tblCellSpacing w:w="0" w:type="dxa"/>
                    </w:trPr>
                    <w:tc>
                      <w:tcPr>
                        <w:tcW w:w="0" w:type="auto"/>
                        <w:tcMar>
                          <w:top w:w="120" w:type="dxa"/>
                          <w:left w:w="120" w:type="dxa"/>
                          <w:bottom w:w="120" w:type="dxa"/>
                          <w:right w:w="120" w:type="dxa"/>
                        </w:tcMar>
                        <w:vAlign w:val="center"/>
                        <w:hideMark/>
                      </w:tcPr>
                      <w:p w14:paraId="112D526A" w14:textId="77777777" w:rsidR="00383D68" w:rsidRPr="00383D68" w:rsidRDefault="00383D68" w:rsidP="00383D68">
                        <w:r w:rsidRPr="00383D68">
                          <w:t xml:space="preserve">So even though the slowing in deal activity may be slightly overstated due to the decline in public announcements, the number of M&amp;A transactions is down. However, because the primary driver is reduced supply, valuations are holding. We are seeing a marginally greater spread of multiples between high and low-quality firms in the </w:t>
                        </w:r>
                        <w:proofErr w:type="gramStart"/>
                        <w:r w:rsidRPr="00383D68">
                          <w:t>same size</w:t>
                        </w:r>
                        <w:proofErr w:type="gramEnd"/>
                        <w:r w:rsidRPr="00383D68">
                          <w:t xml:space="preserve"> category, but overall multiples are consistent with what we’ve seen over the past several years.</w:t>
                        </w:r>
                      </w:p>
                      <w:p w14:paraId="12BF6B60" w14:textId="7ABD75D4" w:rsidR="00383D68" w:rsidRPr="00383D68" w:rsidRDefault="00383D68" w:rsidP="00383D68"/>
                      <w:p w14:paraId="5487048F" w14:textId="77777777" w:rsidR="00383D68" w:rsidRPr="00383D68" w:rsidRDefault="00383D68" w:rsidP="00383D68">
                        <w:r w:rsidRPr="00383D68">
                          <w:t>We are not predicting any major changes to the pace of consolidation – or to valuations – in 2026. A few interest rate cuts could boost activity and valuations, but public broker stock performance – down on average over 25% from their early 2025 highs - could have the opposite effect. Most importantly, though, the insurance distribution system remains a fragmented industry in which there are clear benefits of scale. Continued consolidation is a natural consequence of that environment.</w:t>
                        </w:r>
                      </w:p>
                    </w:tc>
                  </w:tr>
                </w:tbl>
                <w:p w14:paraId="67B6E6D4" w14:textId="27B2358F" w:rsidR="00383D68" w:rsidRPr="00383D68" w:rsidRDefault="00383D68" w:rsidP="00383D68"/>
              </w:tc>
            </w:tr>
          </w:tbl>
          <w:p w14:paraId="2DE8B512" w14:textId="77777777" w:rsidR="00383D68" w:rsidRPr="00383D68" w:rsidRDefault="00383D68" w:rsidP="00383D68"/>
        </w:tc>
      </w:tr>
      <w:tr w:rsidR="00383D68" w:rsidRPr="00383D68" w14:paraId="3F224E16" w14:textId="77777777">
        <w:tblPrEx>
          <w:shd w:val="clear" w:color="auto" w:fill="auto"/>
        </w:tblPrEx>
        <w:trPr>
          <w:tblCellSpacing w:w="0" w:type="dxa"/>
          <w:jc w:val="center"/>
        </w:trPr>
        <w:tc>
          <w:tcPr>
            <w:tcW w:w="0" w:type="auto"/>
            <w:vAlign w:val="center"/>
            <w:hideMark/>
          </w:tcPr>
          <w:tbl>
            <w:tblPr>
              <w:tblW w:w="9000" w:type="dxa"/>
              <w:jc w:val="center"/>
              <w:tblCellSpacing w:w="0" w:type="dxa"/>
              <w:shd w:val="clear" w:color="auto" w:fill="DCE7F7"/>
              <w:tblCellMar>
                <w:left w:w="0" w:type="dxa"/>
                <w:right w:w="0" w:type="dxa"/>
              </w:tblCellMar>
              <w:tblLook w:val="04A0" w:firstRow="1" w:lastRow="0" w:firstColumn="1" w:lastColumn="0" w:noHBand="0" w:noVBand="1"/>
            </w:tblPr>
            <w:tblGrid>
              <w:gridCol w:w="4500"/>
              <w:gridCol w:w="4500"/>
            </w:tblGrid>
            <w:tr w:rsidR="00383D68" w:rsidRPr="00383D68" w14:paraId="143D5CB6" w14:textId="77777777">
              <w:trPr>
                <w:tblCellSpacing w:w="0" w:type="dxa"/>
                <w:jc w:val="center"/>
              </w:trPr>
              <w:tc>
                <w:tcPr>
                  <w:tcW w:w="4500" w:type="dxa"/>
                  <w:shd w:val="clear" w:color="auto" w:fill="DCE7F7"/>
                  <w:tcMar>
                    <w:top w:w="300" w:type="dxa"/>
                    <w:left w:w="0" w:type="dxa"/>
                    <w:bottom w:w="75" w:type="dxa"/>
                    <w:right w:w="0" w:type="dxa"/>
                  </w:tcMar>
                  <w:hideMark/>
                </w:tcPr>
                <w:tbl>
                  <w:tblPr>
                    <w:tblW w:w="4500" w:type="dxa"/>
                    <w:tblCellSpacing w:w="0" w:type="dxa"/>
                    <w:tblCellMar>
                      <w:left w:w="0" w:type="dxa"/>
                      <w:right w:w="0" w:type="dxa"/>
                    </w:tblCellMar>
                    <w:tblLook w:val="04A0" w:firstRow="1" w:lastRow="0" w:firstColumn="1" w:lastColumn="0" w:noHBand="0" w:noVBand="1"/>
                  </w:tblPr>
                  <w:tblGrid>
                    <w:gridCol w:w="4500"/>
                  </w:tblGrid>
                  <w:tr w:rsidR="00383D68" w:rsidRPr="00383D68" w14:paraId="4A238340" w14:textId="77777777">
                    <w:trPr>
                      <w:tblCellSpacing w:w="0" w:type="dxa"/>
                    </w:trPr>
                    <w:tc>
                      <w:tcPr>
                        <w:tcW w:w="4500" w:type="dxa"/>
                        <w:tcMar>
                          <w:top w:w="150" w:type="dxa"/>
                          <w:left w:w="0" w:type="dxa"/>
                          <w:bottom w:w="75" w:type="dxa"/>
                          <w:right w:w="0" w:type="dxa"/>
                        </w:tcMar>
                        <w:vAlign w:val="center"/>
                        <w:hideMark/>
                      </w:tcPr>
                      <w:p w14:paraId="2E994CC9" w14:textId="2F4B4A66" w:rsidR="00383D68" w:rsidRPr="00383D68" w:rsidRDefault="00383D68" w:rsidP="00383D68">
                        <w:r w:rsidRPr="00383D68">
                          <w:lastRenderedPageBreak/>
                          <w:t> </w:t>
                        </w:r>
                        <w:r w:rsidRPr="00383D68">
                          <w:drawing>
                            <wp:inline distT="0" distB="0" distL="0" distR="0" wp14:anchorId="5517A386" wp14:editId="07EAE1D3">
                              <wp:extent cx="1752600" cy="2190750"/>
                              <wp:effectExtent l="0" t="0" r="0" b="0"/>
                              <wp:docPr id="1068841384" name="Picture 21" descr="Medium shot of a person smiling&#10;&#10;AI-generated content may be incorrect.">
                                <a:hlinkClick xmlns:a="http://schemas.openxmlformats.org/drawingml/2006/main" r:id="rId9" tooltip="https://protect.checkpoint.com/v2/r01/___https:/go.reaganconsulting.com/e/898771/brian-deitz/31mk2g1/2057620350/h/kUFIEIGL_YXDTcoBNrQZ1jxYUFzizkdZ240ZH8eXd00___.YzJ1OmlpYXY6YzpvOmRiMjU1MjhiOTRjMDlkM2NmMmI3NmJkOTQzYTc1NTQ5Ojc6MGM5ZTpmOTc3NjlkYmZkYTlmZWMyYjEwMjlhMjJkZmZmOTAwNTBmMmViODBmOWU4NjA3NmQ0MjgxZmZlYzE0YjUzM2U3Omg6VD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41384" name="Picture 21" descr="Medium shot of a person smiling&#10;&#10;AI-generated content may be incorrect.">
                                        <a:hlinkClick r:id="rId9" tooltip="https://protect.checkpoint.com/v2/r01/___https:/go.reaganconsulting.com/e/898771/brian-deitz/31mk2g1/2057620350/h/kUFIEIGL_YXDTcoBNrQZ1jxYUFzizkdZ240ZH8eXd00___.YzJ1OmlpYXY6YzpvOmRiMjU1MjhiOTRjMDlkM2NmMmI3NmJkOTQzYTc1NTQ5Ojc6MGM5ZTpmOTc3NjlkYmZkYTlmZWMyYjEwMjlhMjJkZmZmOTAwNTBmMmViODBmOWU4NjA3NmQ0MjgxZmZlYzE0YjUzM2U3Omg6VDpG"/>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5303" cy="2194129"/>
                                      </a:xfrm>
                                      <a:prstGeom prst="rect">
                                        <a:avLst/>
                                      </a:prstGeom>
                                      <a:noFill/>
                                      <a:ln>
                                        <a:noFill/>
                                      </a:ln>
                                    </pic:spPr>
                                  </pic:pic>
                                </a:graphicData>
                              </a:graphic>
                            </wp:inline>
                          </w:drawing>
                        </w:r>
                      </w:p>
                    </w:tc>
                  </w:tr>
                </w:tbl>
                <w:p w14:paraId="4F6F0BFC" w14:textId="77777777" w:rsidR="00383D68" w:rsidRPr="00383D68" w:rsidRDefault="00383D68" w:rsidP="00383D68"/>
              </w:tc>
              <w:tc>
                <w:tcPr>
                  <w:tcW w:w="4500" w:type="dxa"/>
                  <w:shd w:val="clear" w:color="auto" w:fill="DCE7F7"/>
                  <w:tcMar>
                    <w:top w:w="600" w:type="dxa"/>
                    <w:left w:w="0" w:type="dxa"/>
                    <w:bottom w:w="75" w:type="dxa"/>
                    <w:right w:w="0" w:type="dxa"/>
                  </w:tcMar>
                  <w:hideMark/>
                </w:tcPr>
                <w:tbl>
                  <w:tblPr>
                    <w:tblW w:w="4500" w:type="dxa"/>
                    <w:tblCellSpacing w:w="0" w:type="dxa"/>
                    <w:tblCellMar>
                      <w:left w:w="0" w:type="dxa"/>
                      <w:right w:w="0" w:type="dxa"/>
                    </w:tblCellMar>
                    <w:tblLook w:val="04A0" w:firstRow="1" w:lastRow="0" w:firstColumn="1" w:lastColumn="0" w:noHBand="0" w:noVBand="1"/>
                  </w:tblPr>
                  <w:tblGrid>
                    <w:gridCol w:w="4500"/>
                  </w:tblGrid>
                  <w:tr w:rsidR="00383D68" w:rsidRPr="00383D68" w14:paraId="0C1FA6AC" w14:textId="77777777">
                    <w:trPr>
                      <w:tblCellSpacing w:w="0" w:type="dxa"/>
                    </w:trPr>
                    <w:tc>
                      <w:tcPr>
                        <w:tcW w:w="0" w:type="auto"/>
                        <w:tcMar>
                          <w:top w:w="150" w:type="dxa"/>
                          <w:left w:w="0" w:type="dxa"/>
                          <w:bottom w:w="150" w:type="dxa"/>
                          <w:right w:w="150" w:type="dxa"/>
                        </w:tcMar>
                        <w:vAlign w:val="center"/>
                        <w:hideMark/>
                      </w:tcPr>
                      <w:p w14:paraId="722BA54D" w14:textId="77777777" w:rsidR="00383D68" w:rsidRPr="00383D68" w:rsidRDefault="00383D68" w:rsidP="00383D68">
                        <w:hyperlink r:id="rId11" w:tooltip="https://protect.checkpoint.com/v2/r01/___https:/go.reaganconsulting.com/e/898771/brian-deitz/31mk2g1/2057620350/h/kUFIEIGL_YXDTcoBNrQZ1jxYUFzizkdZ240ZH8eXd00___.YzJ1OmlpYXY6YzpvOmRiMjU1MjhiOTRjMDlkM2NmMmI3NmJkOTQzYTc1NTQ5Ojc6MjJhZTo1MTYyNDBlOTA2ZjA5ZDJkMjc1ZmNlYTBmZjFiZjNlYTAyMzA2M2JlMmY5N2ZhNDJiOGIzNTA2ZDI1NzYzODg5Omg6VDpG" w:history="1">
                          <w:r w:rsidRPr="00383D68">
                            <w:rPr>
                              <w:rStyle w:val="Hyperlink"/>
                            </w:rPr>
                            <w:t>Brian Deitz</w:t>
                          </w:r>
                        </w:hyperlink>
                      </w:p>
                      <w:p w14:paraId="0F716440" w14:textId="77777777" w:rsidR="00383D68" w:rsidRPr="00383D68" w:rsidRDefault="00383D68" w:rsidP="00383D68">
                        <w:hyperlink r:id="rId12" w:tooltip="https://protect.checkpoint.com/v2/r01/___https:/go.reaganconsulting.com/e/898771/brian-deitz/31mk2g1/2057620350/h/kUFIEIGL_YXDTcoBNrQZ1jxYUFzizkdZ240ZH8eXd00___.YzJ1OmlpYXY6YzpvOmRiMjU1MjhiOTRjMDlkM2NmMmI3NmJkOTQzYTc1NTQ5Ojc6ZjU5Yjo3ODJkZmZhOTJlNzkxMjFlNzhhYzJhMGMzMWQzODBhMTE0NzQ4MTliYmUwYzcyNDYyZDFjNGU5ZmQyNzU5MGViOmg6VDpG" w:history="1">
                          <w:r w:rsidRPr="00383D68">
                            <w:rPr>
                              <w:rStyle w:val="Hyperlink"/>
                            </w:rPr>
                            <w:t>President, Reagan Consulting</w:t>
                          </w:r>
                        </w:hyperlink>
                      </w:p>
                    </w:tc>
                  </w:tr>
                </w:tbl>
                <w:p w14:paraId="3549C989" w14:textId="77777777" w:rsidR="00383D68" w:rsidRPr="00383D68" w:rsidRDefault="00383D68" w:rsidP="00383D68">
                  <w:r w:rsidRPr="00383D68">
                    <w:t> </w:t>
                  </w:r>
                </w:p>
                <w:tbl>
                  <w:tblPr>
                    <w:tblW w:w="4500" w:type="dxa"/>
                    <w:tblCellSpacing w:w="0" w:type="dxa"/>
                    <w:tblCellMar>
                      <w:left w:w="0" w:type="dxa"/>
                      <w:right w:w="0" w:type="dxa"/>
                    </w:tblCellMar>
                    <w:tblLook w:val="04A0" w:firstRow="1" w:lastRow="0" w:firstColumn="1" w:lastColumn="0" w:noHBand="0" w:noVBand="1"/>
                  </w:tblPr>
                  <w:tblGrid>
                    <w:gridCol w:w="4500"/>
                  </w:tblGrid>
                  <w:tr w:rsidR="00383D68" w:rsidRPr="00383D68" w14:paraId="0DA70C91" w14:textId="77777777">
                    <w:trPr>
                      <w:tblCellSpacing w:w="0" w:type="dxa"/>
                    </w:trPr>
                    <w:tc>
                      <w:tcPr>
                        <w:tcW w:w="0" w:type="auto"/>
                        <w:tcMar>
                          <w:top w:w="150" w:type="dxa"/>
                          <w:left w:w="0" w:type="dxa"/>
                          <w:bottom w:w="150"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110"/>
                          <w:gridCol w:w="1110"/>
                        </w:tblGrid>
                        <w:tr w:rsidR="00383D68" w:rsidRPr="00383D68" w14:paraId="21DAE7D1" w14:textId="77777777">
                          <w:trPr>
                            <w:tblCellSpacing w:w="0" w:type="dxa"/>
                          </w:trPr>
                          <w:tc>
                            <w:tcPr>
                              <w:tcW w:w="0" w:type="auto"/>
                              <w:tcMar>
                                <w:top w:w="0" w:type="dxa"/>
                                <w:left w:w="0" w:type="dxa"/>
                                <w:bottom w:w="0" w:type="dxa"/>
                                <w:right w:w="150" w:type="dxa"/>
                              </w:tcMar>
                              <w:vAlign w:val="center"/>
                              <w:hideMark/>
                            </w:tcPr>
                            <w:p w14:paraId="6AC55752" w14:textId="31966BF0" w:rsidR="00383D68" w:rsidRPr="00383D68" w:rsidRDefault="00383D68" w:rsidP="00383D68">
                              <w:r w:rsidRPr="00383D68">
                                <w:drawing>
                                  <wp:inline distT="0" distB="0" distL="0" distR="0" wp14:anchorId="06E93435" wp14:editId="32102CE0">
                                    <wp:extent cx="609600" cy="609600"/>
                                    <wp:effectExtent l="0" t="0" r="0" b="0"/>
                                    <wp:docPr id="178570229" name="Picture 20" descr="Linkedin">
                                      <a:hlinkClick xmlns:a="http://schemas.openxmlformats.org/drawingml/2006/main" r:id="rId13" tooltip="https://protect.checkpoint.com/v2/r01/___https:/go.reaganconsulting.com/e/898771/in-brian-deitz-338752285-/31mk2g4/2057620350/h/kUFIEIGL_YXDTcoBNrQZ1jxYUFzizkdZ240ZH8eXd00___.YzJ1OmlpYXY6YzpvOmRiMjU1MjhiOTRjMDlkM2NmMmI3NmJkOTQzYTc1NTQ5Ojc6YmU3YTpkNjlkMWI4YjI5Yjc1MGE4MzU3MjJjMTNiOWUxMDI5MWRiOTA3ODM4MTA5MWE3Y2E4ODY4Mjg1MDUwZWM5YzhiOmg6VD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3" descr="Linked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0" w:type="auto"/>
                              <w:tcMar>
                                <w:top w:w="0" w:type="dxa"/>
                                <w:left w:w="0" w:type="dxa"/>
                                <w:bottom w:w="0" w:type="dxa"/>
                                <w:right w:w="150" w:type="dxa"/>
                              </w:tcMar>
                              <w:vAlign w:val="center"/>
                              <w:hideMark/>
                            </w:tcPr>
                            <w:p w14:paraId="2FB3DABA" w14:textId="6178E12D" w:rsidR="00383D68" w:rsidRPr="00383D68" w:rsidRDefault="00383D68" w:rsidP="00383D68">
                              <w:r w:rsidRPr="00383D68">
                                <w:drawing>
                                  <wp:inline distT="0" distB="0" distL="0" distR="0" wp14:anchorId="3B8497A4" wp14:editId="1AF26E29">
                                    <wp:extent cx="609600" cy="609600"/>
                                    <wp:effectExtent l="0" t="0" r="0" b="0"/>
                                    <wp:docPr id="66968270" name="Picture 19" descr="E-Mail">
                                      <a:hlinkClick xmlns:a="http://schemas.openxmlformats.org/drawingml/2006/main" r:id="rId15" tooltip="mailto:brian@reaganconsulting.co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2" descr="E-Mai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r>
                      </w:tbl>
                      <w:p w14:paraId="65FBF306" w14:textId="77777777" w:rsidR="00383D68" w:rsidRPr="00383D68" w:rsidRDefault="00383D68" w:rsidP="00383D68"/>
                    </w:tc>
                  </w:tr>
                </w:tbl>
                <w:p w14:paraId="5C99D2EB" w14:textId="77777777" w:rsidR="00383D68" w:rsidRPr="00383D68" w:rsidRDefault="00383D68" w:rsidP="00383D68"/>
              </w:tc>
            </w:tr>
          </w:tbl>
          <w:p w14:paraId="111A75B5" w14:textId="77777777" w:rsidR="00383D68" w:rsidRPr="00383D68" w:rsidRDefault="00383D68" w:rsidP="00383D68"/>
        </w:tc>
      </w:tr>
      <w:tr w:rsidR="00383D68" w:rsidRPr="00383D68" w14:paraId="6F6AD5D7" w14:textId="77777777" w:rsidTr="00383D68">
        <w:trPr>
          <w:tblCellSpacing w:w="0" w:type="dxa"/>
          <w:jc w:val="center"/>
        </w:trPr>
        <w:tc>
          <w:tcPr>
            <w:tcW w:w="0" w:type="auto"/>
            <w:shd w:val="clear" w:color="auto" w:fill="FFFFFF"/>
            <w:vAlign w:val="center"/>
            <w:hideMark/>
          </w:tcPr>
          <w:tbl>
            <w:tblPr>
              <w:tblW w:w="9000" w:type="dxa"/>
              <w:jc w:val="center"/>
              <w:tblCellSpacing w:w="0" w:type="dxa"/>
              <w:shd w:val="clear" w:color="auto" w:fill="DCE7F7"/>
              <w:tblCellMar>
                <w:left w:w="0" w:type="dxa"/>
                <w:right w:w="0" w:type="dxa"/>
              </w:tblCellMar>
              <w:tblLook w:val="04A0" w:firstRow="1" w:lastRow="0" w:firstColumn="1" w:lastColumn="0" w:noHBand="0" w:noVBand="1"/>
            </w:tblPr>
            <w:tblGrid>
              <w:gridCol w:w="9000"/>
            </w:tblGrid>
            <w:tr w:rsidR="00383D68" w:rsidRPr="00383D68" w14:paraId="46B698D9" w14:textId="77777777">
              <w:trPr>
                <w:tblCellSpacing w:w="0" w:type="dxa"/>
                <w:jc w:val="center"/>
              </w:trPr>
              <w:tc>
                <w:tcPr>
                  <w:tcW w:w="9000" w:type="dxa"/>
                  <w:shd w:val="clear" w:color="auto" w:fill="DCE7F7"/>
                  <w:tcMar>
                    <w:top w:w="0" w:type="dxa"/>
                    <w:left w:w="0" w:type="dxa"/>
                    <w:bottom w:w="300" w:type="dxa"/>
                    <w:right w:w="0" w:type="dxa"/>
                  </w:tcMar>
                  <w:hideMark/>
                </w:tcPr>
                <w:tbl>
                  <w:tblPr>
                    <w:tblW w:w="9000" w:type="dxa"/>
                    <w:tblCellSpacing w:w="0" w:type="dxa"/>
                    <w:tblCellMar>
                      <w:left w:w="0" w:type="dxa"/>
                      <w:right w:w="0" w:type="dxa"/>
                    </w:tblCellMar>
                    <w:tblLook w:val="04A0" w:firstRow="1" w:lastRow="0" w:firstColumn="1" w:lastColumn="0" w:noHBand="0" w:noVBand="1"/>
                  </w:tblPr>
                  <w:tblGrid>
                    <w:gridCol w:w="9000"/>
                  </w:tblGrid>
                  <w:tr w:rsidR="00383D68" w:rsidRPr="00383D68" w14:paraId="05D64821" w14:textId="77777777">
                    <w:trPr>
                      <w:tblCellSpacing w:w="0" w:type="dxa"/>
                    </w:trPr>
                    <w:tc>
                      <w:tcPr>
                        <w:tcW w:w="0" w:type="auto"/>
                        <w:tcMar>
                          <w:top w:w="120" w:type="dxa"/>
                          <w:left w:w="120" w:type="dxa"/>
                          <w:bottom w:w="120" w:type="dxa"/>
                          <w:right w:w="120" w:type="dxa"/>
                        </w:tcMar>
                        <w:vAlign w:val="center"/>
                        <w:hideMark/>
                      </w:tcPr>
                      <w:p w14:paraId="6C6F5329" w14:textId="1EA3AB2F" w:rsidR="00383D68" w:rsidRPr="00383D68" w:rsidRDefault="00383D68" w:rsidP="00383D68">
                        <w:r w:rsidRPr="00383D68">
                          <w:t> </w:t>
                        </w:r>
                        <w:proofErr w:type="spellStart"/>
                        <w:r w:rsidRPr="00383D68">
                          <w:fldChar w:fldCharType="begin"/>
                        </w:r>
                        <w:r w:rsidRPr="00383D68">
                          <w:instrText>HYPERLINK "https://protect.checkpoint.com/v2/r01/___https:/go.reaganconsulting.com/e/898771/reagan-view/31mk2g7/2057620350/h/kUFIEIGL_YXDTcoBNrQZ1jxYUFzizkdZ240ZH8eXd00___.YzJ1OmlpYXY6YzpvOmRiMjU1MjhiOTRjMDlkM2NmMmI3NmJkOTQzYTc1NTQ5Ojc6ZWVkYjoxYWVjMGU2N2ZlZjFhZGNmOWI0MzllOTQ3MWJjMzcwMjQwOWNkYjdkOTg0YTJiYzMyZDNjYjg2MThmOWEwMzEwOmg6VDpG" \o "https://protect.checkpoint.com/v2/r01/___https:/go.reaganconsulting.com/e/898771/reagan-view/31mk2g7/2057620350/h/kUFIEIGL_YXDTcoBNrQZ1jxYUFzizkdZ240ZH8eXd00___.YzJ1OmlpYXY6YzpvOmRiMjU1MjhiOTRjMDlkM2NmMmI3NmJkOTQzYTc1NTQ5Ojc6ZWVkYjoxYWVjMGU2N2ZlZjFhZGNmOWI0MzllOTQ3MWJjMzcwMjQwOWNkYjdkOTg0YTJiYzMyZDNjYjg2MThmOWEwMzEwOmg6VDpG"</w:instrText>
                        </w:r>
                        <w:r w:rsidRPr="00383D68">
                          <w:fldChar w:fldCharType="separate"/>
                        </w:r>
                        <w:r w:rsidRPr="00383D68">
                          <w:rPr>
                            <w:rStyle w:val="Hyperlink"/>
                          </w:rPr>
                          <w:t>ReaganView</w:t>
                        </w:r>
                        <w:proofErr w:type="spellEnd"/>
                        <w:r w:rsidRPr="00383D68">
                          <w:fldChar w:fldCharType="end"/>
                        </w:r>
                        <w:r w:rsidRPr="00383D68">
                          <w:t> is Reagan Consulting’s forum for providing an occasional perspective on issues and opportunities relevant to the insurance distribution industry.</w:t>
                        </w:r>
                      </w:p>
                    </w:tc>
                  </w:tr>
                </w:tbl>
                <w:p w14:paraId="0899D3C3" w14:textId="77777777" w:rsidR="00383D68" w:rsidRPr="00383D68" w:rsidRDefault="00383D68" w:rsidP="00383D68">
                  <w:pPr>
                    <w:rPr>
                      <w:vanish/>
                    </w:rPr>
                  </w:pPr>
                </w:p>
                <w:tbl>
                  <w:tblPr>
                    <w:tblW w:w="9000" w:type="dxa"/>
                    <w:tblCellSpacing w:w="0" w:type="dxa"/>
                    <w:tblCellMar>
                      <w:left w:w="0" w:type="dxa"/>
                      <w:right w:w="0" w:type="dxa"/>
                    </w:tblCellMar>
                    <w:tblLook w:val="04A0" w:firstRow="1" w:lastRow="0" w:firstColumn="1" w:lastColumn="0" w:noHBand="0" w:noVBand="1"/>
                  </w:tblPr>
                  <w:tblGrid>
                    <w:gridCol w:w="9000"/>
                  </w:tblGrid>
                  <w:tr w:rsidR="00383D68" w:rsidRPr="00383D68" w14:paraId="712B791F" w14:textId="77777777">
                    <w:trPr>
                      <w:tblCellSpacing w:w="0" w:type="dxa"/>
                    </w:trPr>
                    <w:tc>
                      <w:tcPr>
                        <w:tcW w:w="9000" w:type="dxa"/>
                        <w:tcMar>
                          <w:top w:w="150" w:type="dxa"/>
                          <w:left w:w="0" w:type="dxa"/>
                          <w:bottom w:w="0" w:type="dxa"/>
                          <w:right w:w="0" w:type="dxa"/>
                        </w:tcMar>
                        <w:vAlign w:val="center"/>
                        <w:hideMark/>
                      </w:tcPr>
                      <w:p w14:paraId="105D950B" w14:textId="7B49EC99" w:rsidR="00383D68" w:rsidRPr="00383D68" w:rsidRDefault="00383D68" w:rsidP="00383D68">
                        <w:r w:rsidRPr="00383D68">
                          <w:drawing>
                            <wp:inline distT="0" distB="0" distL="0" distR="0" wp14:anchorId="68BA45DE" wp14:editId="57815C87">
                              <wp:extent cx="2682240" cy="579120"/>
                              <wp:effectExtent l="0" t="0" r="3810" b="0"/>
                              <wp:docPr id="423354647" name="Picture 18" descr="A blue rectangle with white text&#10;&#10;AI-generated content may be incorrect.">
                                <a:hlinkClick xmlns:a="http://schemas.openxmlformats.org/drawingml/2006/main" r:id="rId17" tooltip="https://protect.checkpoint.com/v2/r01/___https:/go.reaganconsulting.com/e/898771/l-898771-2023-12-11-31hmw4f/31mk2gb/2057620350/h/kUFIEIGL_YXDTcoBNrQZ1jxYUFzizkdZ240ZH8eXd00___.YzJ1OmlpYXY6YzpvOmRiMjU1MjhiOTRjMDlkM2NmMmI3NmJkOTQzYTc1NTQ5Ojc6OTJjODpiMjJkOTdhMGIzOTg2NjUxZTczNWRjNTJjNDk3NTEyN2M1MmQyZGNmYmI2YmJlZjE4YzljYzMwZWMzODQ4MzAzOmg6VD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54647" name="Picture 18" descr="A blue rectangle with white text&#10;&#10;AI-generated content may be incorrect.">
                                        <a:hlinkClick r:id="rId17" tooltip="https://protect.checkpoint.com/v2/r01/___https:/go.reaganconsulting.com/e/898771/l-898771-2023-12-11-31hmw4f/31mk2gb/2057620350/h/kUFIEIGL_YXDTcoBNrQZ1jxYUFzizkdZ240ZH8eXd00___.YzJ1OmlpYXY6YzpvOmRiMjU1MjhiOTRjMDlkM2NmMmI3NmJkOTQzYTc1NTQ5Ojc6OTJjODpiMjJkOTdhMGIzOTg2NjUxZTczNWRjNTJjNDk3NTEyN2M1MmQyZGNmYmI2YmJlZjE4YzljYzMwZWMzODQ4MzAzOmg6VDpG"/>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82240" cy="579120"/>
                                      </a:xfrm>
                                      <a:prstGeom prst="rect">
                                        <a:avLst/>
                                      </a:prstGeom>
                                      <a:noFill/>
                                      <a:ln>
                                        <a:noFill/>
                                      </a:ln>
                                    </pic:spPr>
                                  </pic:pic>
                                </a:graphicData>
                              </a:graphic>
                            </wp:inline>
                          </w:drawing>
                        </w:r>
                      </w:p>
                    </w:tc>
                  </w:tr>
                </w:tbl>
                <w:p w14:paraId="2BD287F5" w14:textId="77777777" w:rsidR="00383D68" w:rsidRPr="00383D68" w:rsidRDefault="00383D68" w:rsidP="00383D68"/>
              </w:tc>
            </w:tr>
          </w:tbl>
          <w:p w14:paraId="66128450" w14:textId="77777777" w:rsidR="00383D68" w:rsidRPr="00383D68" w:rsidRDefault="00383D68" w:rsidP="00383D68"/>
        </w:tc>
      </w:tr>
      <w:tr w:rsidR="00383D68" w:rsidRPr="00383D68" w14:paraId="15DFFF4C" w14:textId="77777777" w:rsidTr="00383D68">
        <w:trPr>
          <w:tblCellSpacing w:w="0" w:type="dxa"/>
          <w:jc w:val="center"/>
        </w:trPr>
        <w:tc>
          <w:tcPr>
            <w:tcW w:w="0" w:type="auto"/>
            <w:shd w:val="clear" w:color="auto" w:fill="FFFFFF"/>
            <w:vAlign w:val="center"/>
            <w:hideMark/>
          </w:tcPr>
          <w:tbl>
            <w:tblPr>
              <w:tblW w:w="9000" w:type="dxa"/>
              <w:jc w:val="center"/>
              <w:tblCellSpacing w:w="0" w:type="dxa"/>
              <w:shd w:val="clear" w:color="auto" w:fill="002E5D"/>
              <w:tblCellMar>
                <w:left w:w="0" w:type="dxa"/>
                <w:right w:w="0" w:type="dxa"/>
              </w:tblCellMar>
              <w:tblLook w:val="04A0" w:firstRow="1" w:lastRow="0" w:firstColumn="1" w:lastColumn="0" w:noHBand="0" w:noVBand="1"/>
            </w:tblPr>
            <w:tblGrid>
              <w:gridCol w:w="9000"/>
            </w:tblGrid>
            <w:tr w:rsidR="00383D68" w:rsidRPr="00383D68" w14:paraId="52B24EC7" w14:textId="77777777">
              <w:trPr>
                <w:tblCellSpacing w:w="0" w:type="dxa"/>
                <w:jc w:val="center"/>
              </w:trPr>
              <w:tc>
                <w:tcPr>
                  <w:tcW w:w="9000" w:type="dxa"/>
                  <w:shd w:val="clear" w:color="auto" w:fill="002E5D"/>
                  <w:tcMar>
                    <w:top w:w="150" w:type="dxa"/>
                    <w:left w:w="0" w:type="dxa"/>
                    <w:bottom w:w="0" w:type="dxa"/>
                    <w:right w:w="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83D68" w:rsidRPr="00383D68" w14:paraId="08BF2FF1" w14:textId="77777777" w:rsidTr="00383D68">
                    <w:trPr>
                      <w:tblCellSpacing w:w="0" w:type="dxa"/>
                      <w:jc w:val="center"/>
                    </w:trPr>
                    <w:tc>
                      <w:tcPr>
                        <w:tcW w:w="0" w:type="auto"/>
                        <w:tcMar>
                          <w:top w:w="150" w:type="dxa"/>
                          <w:left w:w="150" w:type="dxa"/>
                          <w:bottom w:w="75" w:type="dxa"/>
                          <w:right w:w="15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069"/>
                          <w:gridCol w:w="1020"/>
                          <w:gridCol w:w="1020"/>
                          <w:gridCol w:w="1020"/>
                          <w:gridCol w:w="1020"/>
                        </w:tblGrid>
                        <w:tr w:rsidR="00383D68" w:rsidRPr="00383D68" w14:paraId="3DADE1B3" w14:textId="77777777">
                          <w:trPr>
                            <w:tblCellSpacing w:w="0" w:type="dxa"/>
                            <w:jc w:val="center"/>
                          </w:trPr>
                          <w:tc>
                            <w:tcPr>
                              <w:tcW w:w="0" w:type="auto"/>
                              <w:tcMar>
                                <w:top w:w="0" w:type="dxa"/>
                                <w:left w:w="30" w:type="dxa"/>
                                <w:bottom w:w="0" w:type="dxa"/>
                                <w:right w:w="30" w:type="dxa"/>
                              </w:tcMar>
                              <w:vAlign w:val="center"/>
                              <w:hideMark/>
                            </w:tcPr>
                            <w:p w14:paraId="71FBCB47" w14:textId="423260C8" w:rsidR="00383D68" w:rsidRPr="00383D68" w:rsidRDefault="00383D68" w:rsidP="00383D68">
                              <w:r w:rsidRPr="00383D68">
                                <w:t> </w:t>
                              </w:r>
                              <w:r w:rsidRPr="00383D68">
                                <w:drawing>
                                  <wp:inline distT="0" distB="0" distL="0" distR="0" wp14:anchorId="4D1746F1" wp14:editId="041B0ADC">
                                    <wp:extent cx="609600" cy="609600"/>
                                    <wp:effectExtent l="0" t="0" r="0" b="0"/>
                                    <wp:docPr id="383680586" name="Picture 17" descr="LinkedIn">
                                      <a:hlinkClick xmlns:a="http://schemas.openxmlformats.org/drawingml/2006/main" r:id="rId19" tooltip="https://protect.checkpoint.com/v2/r01/___https:/go.reaganconsulting.com/e/898771/ompany-reagan-consulting-inc--/31mk2gf/2057620350/h/kUFIEIGL_YXDTcoBNrQZ1jxYUFzizkdZ240ZH8eXd00___.YzJ1OmlpYXY6YzpvOmRiMjU1MjhiOTRjMDlkM2NmMmI3NmJkOTQzYTc1NTQ5Ojc6NmU0Yjo2ZmE1NjQyOWQwNWYwMjMyZGYzY2Y5ZmQxZjdlNTE5YzliMWNmNmU3MmVkZjY0NThhYTkwYzA0Mzc0NmZiY2ZmOmg6VD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0" descr="LinkedI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0" w:type="auto"/>
                              <w:tcMar>
                                <w:top w:w="0" w:type="dxa"/>
                                <w:left w:w="30" w:type="dxa"/>
                                <w:bottom w:w="0" w:type="dxa"/>
                                <w:right w:w="30" w:type="dxa"/>
                              </w:tcMar>
                              <w:vAlign w:val="center"/>
                              <w:hideMark/>
                            </w:tcPr>
                            <w:p w14:paraId="63B267CA" w14:textId="1A53BE1D" w:rsidR="00383D68" w:rsidRPr="00383D68" w:rsidRDefault="00383D68" w:rsidP="00383D68">
                              <w:r w:rsidRPr="00383D68">
                                <w:drawing>
                                  <wp:inline distT="0" distB="0" distL="0" distR="0" wp14:anchorId="1109579B" wp14:editId="42002337">
                                    <wp:extent cx="609600" cy="609600"/>
                                    <wp:effectExtent l="0" t="0" r="0" b="0"/>
                                    <wp:docPr id="240515911" name="Picture 16" descr="Website">
                                      <a:hlinkClick xmlns:a="http://schemas.openxmlformats.org/drawingml/2006/main" r:id="rId21" tooltip="https://protect.checkpoint.com/v2/r01/___https:/go.reaganconsulting.com/e/898771/2025-12-11/31mk2gj/2057620350/h/kUFIEIGL_YXDTcoBNrQZ1jxYUFzizkdZ240ZH8eXd00___.YzJ1OmlpYXY6YzpvOmRiMjU1MjhiOTRjMDlkM2NmMmI3NmJkOTQzYTc1NTQ5Ojc6ODk0YjpkODVkMjExM2EwOTExMmZlMGYyMWMzZTgyYTM3YzYwNjY2YzkxNzM2ZTRhYWQyOGMzYTIxZjgzYWFlNDFjYWZmOmg6VD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9" descr="Websi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0" w:type="auto"/>
                              <w:tcMar>
                                <w:top w:w="0" w:type="dxa"/>
                                <w:left w:w="30" w:type="dxa"/>
                                <w:bottom w:w="0" w:type="dxa"/>
                                <w:right w:w="30" w:type="dxa"/>
                              </w:tcMar>
                              <w:vAlign w:val="center"/>
                              <w:hideMark/>
                            </w:tcPr>
                            <w:p w14:paraId="4E449A1B" w14:textId="369A323D" w:rsidR="00383D68" w:rsidRPr="00383D68" w:rsidRDefault="00383D68" w:rsidP="00383D68">
                              <w:r w:rsidRPr="00383D68">
                                <w:drawing>
                                  <wp:inline distT="0" distB="0" distL="0" distR="0" wp14:anchorId="2E7296CC" wp14:editId="33B4B540">
                                    <wp:extent cx="609600" cy="609600"/>
                                    <wp:effectExtent l="0" t="0" r="0" b="0"/>
                                    <wp:docPr id="8939335" name="Picture 15" descr="E-Mail">
                                      <a:hlinkClick xmlns:a="http://schemas.openxmlformats.org/drawingml/2006/main" r:id="rId23" tooltip="mailto:info@reaganconsulting.co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8" descr="E-Mai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0" w:type="auto"/>
                              <w:tcMar>
                                <w:top w:w="0" w:type="dxa"/>
                                <w:left w:w="30" w:type="dxa"/>
                                <w:bottom w:w="0" w:type="dxa"/>
                                <w:right w:w="30" w:type="dxa"/>
                              </w:tcMar>
                              <w:vAlign w:val="center"/>
                              <w:hideMark/>
                            </w:tcPr>
                            <w:p w14:paraId="38D8E2F6" w14:textId="47DA73A8" w:rsidR="00383D68" w:rsidRPr="00383D68" w:rsidRDefault="00383D68" w:rsidP="00383D68">
                              <w:r w:rsidRPr="00383D68">
                                <w:drawing>
                                  <wp:inline distT="0" distB="0" distL="0" distR="0" wp14:anchorId="7D0FE081" wp14:editId="009DFC08">
                                    <wp:extent cx="609600" cy="609600"/>
                                    <wp:effectExtent l="0" t="0" r="0" b="0"/>
                                    <wp:docPr id="692241572" name="Picture 14" descr="Spotify">
                                      <a:hlinkClick xmlns:a="http://schemas.openxmlformats.org/drawingml/2006/main" r:id="rId25" tooltip="https://protect.checkpoint.com/v2/r01/___https:/go.reaganconsulting.com/e/898771/show-2BYfdYdDdbrst6lkFWx3Cp/31mk2gm/2057620350/h/kUFIEIGL_YXDTcoBNrQZ1jxYUFzizkdZ240ZH8eXd00___.YzJ1OmlpYXY6YzpvOmRiMjU1MjhiOTRjMDlkM2NmMmI3NmJkOTQzYTc1NTQ5Ojc6NDAyNTo0NzhmODNjNWVlNDVkOTUxZjE3OTM5MTY2MjhiM2JjMzM3OWI0MzNhYzQ4NmE2ZmI1ZGQ3OTY2MmIwNzZkMGFlOmg6VD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7" descr="Spotify"/>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0" w:type="auto"/>
                              <w:tcMar>
                                <w:top w:w="0" w:type="dxa"/>
                                <w:left w:w="30" w:type="dxa"/>
                                <w:bottom w:w="0" w:type="dxa"/>
                                <w:right w:w="30" w:type="dxa"/>
                              </w:tcMar>
                              <w:vAlign w:val="center"/>
                              <w:hideMark/>
                            </w:tcPr>
                            <w:p w14:paraId="7387D972" w14:textId="71002E3D" w:rsidR="00383D68" w:rsidRPr="00383D68" w:rsidRDefault="00383D68" w:rsidP="00383D68">
                              <w:r w:rsidRPr="00383D68">
                                <w:drawing>
                                  <wp:inline distT="0" distB="0" distL="0" distR="0" wp14:anchorId="6524B13E" wp14:editId="44B864CF">
                                    <wp:extent cx="609600" cy="609600"/>
                                    <wp:effectExtent l="0" t="0" r="0" b="0"/>
                                    <wp:docPr id="31994336" name="Picture 13" descr="YouTube">
                                      <a:hlinkClick xmlns:a="http://schemas.openxmlformats.org/drawingml/2006/main" r:id="rId27" tooltip="https://protect.checkpoint.com/v2/r01/___https:/go.reaganconsulting.com/e/898771/-ReaganConsulting/31mk2gq/2057620350/h/kUFIEIGL_YXDTcoBNrQZ1jxYUFzizkdZ240ZH8eXd00___.YzJ1OmlpYXY6YzpvOmRiMjU1MjhiOTRjMDlkM2NmMmI3NmJkOTQzYTc1NTQ5Ojc6MWE0ZTozOTE3ZWIwODEzMTVkMjBhNmJhMzkxODY1MzQ4OGQzMDBkNTgxOTY5OWI4NmY5MDIwM2FmOWQ3MThjOTNmYjFhOmg6VDp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6" descr="YouTub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r>
                      </w:tbl>
                      <w:p w14:paraId="52B87076" w14:textId="77777777" w:rsidR="00383D68" w:rsidRPr="00383D68" w:rsidRDefault="00383D68" w:rsidP="00383D68"/>
                    </w:tc>
                  </w:tr>
                </w:tbl>
                <w:p w14:paraId="299EF88F" w14:textId="77777777" w:rsidR="00383D68" w:rsidRPr="00383D68" w:rsidRDefault="00383D68" w:rsidP="00383D68"/>
              </w:tc>
            </w:tr>
          </w:tbl>
          <w:p w14:paraId="1D85176A" w14:textId="77777777" w:rsidR="00383D68" w:rsidRPr="00383D68" w:rsidRDefault="00383D68" w:rsidP="00383D68"/>
        </w:tc>
      </w:tr>
      <w:tr w:rsidR="00383D68" w:rsidRPr="00383D68" w14:paraId="111FDD7F" w14:textId="77777777" w:rsidTr="00383D68">
        <w:tblPrEx>
          <w:jc w:val="left"/>
          <w:shd w:val="clear" w:color="auto" w:fill="002E5D"/>
        </w:tblPrEx>
        <w:trPr>
          <w:tblCellSpacing w:w="0" w:type="dxa"/>
        </w:trPr>
        <w:tc>
          <w:tcPr>
            <w:tcW w:w="0" w:type="auto"/>
            <w:shd w:val="clear" w:color="auto" w:fill="002E5D"/>
            <w:tcMar>
              <w:top w:w="120" w:type="dxa"/>
              <w:left w:w="120" w:type="dxa"/>
              <w:bottom w:w="120" w:type="dxa"/>
              <w:right w:w="120" w:type="dxa"/>
            </w:tcMar>
            <w:vAlign w:val="center"/>
            <w:hideMark/>
          </w:tcPr>
          <w:p w14:paraId="3BA009B9" w14:textId="21B7AE3A" w:rsidR="00383D68" w:rsidRPr="00383D68" w:rsidRDefault="00383D68" w:rsidP="00383D68">
            <w:r w:rsidRPr="00383D68">
              <w:t> </w:t>
            </w:r>
            <w:r w:rsidRPr="00383D68">
              <w:rPr>
                <w:i/>
                <w:iCs/>
              </w:rPr>
              <w:t>*This document includes only general information and should not be relied upon as legal, tax or compliance advice.</w:t>
            </w:r>
            <w:r w:rsidRPr="00383D68">
              <w:t> </w:t>
            </w:r>
          </w:p>
          <w:p w14:paraId="05A1C3F8" w14:textId="77777777" w:rsidR="00383D68" w:rsidRPr="00383D68" w:rsidRDefault="00383D68" w:rsidP="00383D68">
            <w:r w:rsidRPr="00383D68">
              <w:rPr>
                <w:i/>
                <w:iCs/>
              </w:rPr>
              <w:t xml:space="preserve">Copyright © 2025 Reagan Consulting, </w:t>
            </w:r>
            <w:proofErr w:type="gramStart"/>
            <w:r w:rsidRPr="00383D68">
              <w:rPr>
                <w:i/>
                <w:iCs/>
              </w:rPr>
              <w:t>All</w:t>
            </w:r>
            <w:proofErr w:type="gramEnd"/>
            <w:r w:rsidRPr="00383D68">
              <w:rPr>
                <w:i/>
                <w:iCs/>
              </w:rPr>
              <w:t xml:space="preserve"> rights reserved.</w:t>
            </w:r>
            <w:r w:rsidRPr="00383D68">
              <w:br/>
              <w:t>Subscribers of Reagan Consulting</w:t>
            </w:r>
          </w:p>
          <w:p w14:paraId="39A52F99" w14:textId="24E44FF0" w:rsidR="00383D68" w:rsidRPr="00383D68" w:rsidRDefault="00383D68" w:rsidP="00383D68">
            <w:r w:rsidRPr="00383D68">
              <w:t>Want to subscribe to our emails? </w:t>
            </w:r>
            <w:hyperlink r:id="rId29" w:tooltip="https://protect.checkpoint.com/v2/r01/___https:/go.reaganconsulting.com/e/898771/l-898771-2023-12-11-31hmw4f/31mk2gb/2057620350/h/kUFIEIGL_YXDTcoBNrQZ1jxYUFzizkdZ240ZH8eXd00___.YzJ1OmlpYXY6YzpvOmRiMjU1MjhiOTRjMDlkM2NmMmI3NmJkOTQzYTc1NTQ5Ojc6YTVmMjpjZjRmODJhZWEyMDM5NjA1YWU2ZTc2YmVkMTAxNmQ4N2Q2NmZkOWE5ODMwZDU4MDA0NzUxY2NjMzEzNDZjMDUxOmg6VDpG" w:history="1">
              <w:r w:rsidRPr="00383D68">
                <w:rPr>
                  <w:rStyle w:val="Hyperlink"/>
                </w:rPr>
                <w:t>Click here</w:t>
              </w:r>
            </w:hyperlink>
            <w:r w:rsidRPr="00383D68">
              <w:t>. Already subscribed and want to update your email preferences? </w:t>
            </w:r>
            <w:hyperlink r:id="rId30" w:tooltip="https://protect.checkpoint.com/v2/r01/___https:/go.reaganconsulting.com/emailpreferences?ehash=5c91623cd5d817aabef6b99a79774d8de592b568ff587f63ec5c9bade2eb3991&amp;email_id=2057620350&amp;epc_hash=ePABP_W1OeQPH_hakkjIFSAcFPDAuEJNZqbGUk_ktS4___.YzJ1OmlpYXY6YzpvOmRiMjU1MjhiOTRjMDlkM2NmMmI3NmJkOTQzYTc1NTQ5Ojc6YzRkOTphNWFiOGE1YTU5MTAyNzFjOTRmYjYwOWZlY2UyNzVjYWY5OWYxNWNlNTM1NzBlN2FkOTEyNTQ2YTc3ZmY3OTI2Omg6VDpG" w:history="1">
              <w:r w:rsidRPr="00383D68">
                <w:rPr>
                  <w:rStyle w:val="Hyperlink"/>
                </w:rPr>
                <w:t>Click here</w:t>
              </w:r>
            </w:hyperlink>
            <w:r w:rsidRPr="00383D68">
              <w:t>.</w:t>
            </w:r>
          </w:p>
        </w:tc>
      </w:tr>
    </w:tbl>
    <w:p w14:paraId="0E810D9B" w14:textId="77777777" w:rsidR="00383D68" w:rsidRPr="00383D68" w:rsidRDefault="00383D68" w:rsidP="00383D68">
      <w:pPr>
        <w:rPr>
          <w:vanish/>
        </w:rPr>
      </w:pPr>
    </w:p>
    <w:tbl>
      <w:tblPr>
        <w:tblW w:w="9000" w:type="dxa"/>
        <w:tblCellSpacing w:w="0" w:type="dxa"/>
        <w:shd w:val="clear" w:color="auto" w:fill="002E5D"/>
        <w:tblCellMar>
          <w:left w:w="0" w:type="dxa"/>
          <w:right w:w="0" w:type="dxa"/>
        </w:tblCellMar>
        <w:tblLook w:val="04A0" w:firstRow="1" w:lastRow="0" w:firstColumn="1" w:lastColumn="0" w:noHBand="0" w:noVBand="1"/>
      </w:tblPr>
      <w:tblGrid>
        <w:gridCol w:w="9000"/>
      </w:tblGrid>
      <w:tr w:rsidR="00383D68" w:rsidRPr="00383D68" w14:paraId="2CADB806" w14:textId="77777777">
        <w:trPr>
          <w:tblCellSpacing w:w="0" w:type="dxa"/>
        </w:trPr>
        <w:tc>
          <w:tcPr>
            <w:tcW w:w="0" w:type="auto"/>
            <w:shd w:val="clear" w:color="auto" w:fill="002E5D"/>
            <w:vAlign w:val="center"/>
            <w:hideMark/>
          </w:tcPr>
          <w:p w14:paraId="07F3BD31" w14:textId="65DB7603" w:rsidR="00383D68" w:rsidRPr="00383D68" w:rsidRDefault="00383D68" w:rsidP="00383D68"/>
        </w:tc>
      </w:tr>
    </w:tbl>
    <w:p w14:paraId="33ACCAF7" w14:textId="77777777" w:rsidR="00CA153D" w:rsidRDefault="00CA153D"/>
    <w:sectPr w:rsidR="00CA1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66C1D"/>
    <w:multiLevelType w:val="multilevel"/>
    <w:tmpl w:val="AB30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0334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68"/>
    <w:rsid w:val="0013241E"/>
    <w:rsid w:val="00383D68"/>
    <w:rsid w:val="00CA153D"/>
    <w:rsid w:val="00DF0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FE05"/>
  <w15:chartTrackingRefBased/>
  <w15:docId w15:val="{102071FB-ADBE-4F73-AE13-EA6B418A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D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D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D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D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D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D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D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D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D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D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D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D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D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D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D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D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D68"/>
    <w:rPr>
      <w:rFonts w:eastAsiaTheme="majorEastAsia" w:cstheme="majorBidi"/>
      <w:color w:val="272727" w:themeColor="text1" w:themeTint="D8"/>
    </w:rPr>
  </w:style>
  <w:style w:type="paragraph" w:styleId="Title">
    <w:name w:val="Title"/>
    <w:basedOn w:val="Normal"/>
    <w:next w:val="Normal"/>
    <w:link w:val="TitleChar"/>
    <w:uiPriority w:val="10"/>
    <w:qFormat/>
    <w:rsid w:val="00383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D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D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D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D68"/>
    <w:pPr>
      <w:spacing w:before="160"/>
      <w:jc w:val="center"/>
    </w:pPr>
    <w:rPr>
      <w:i/>
      <w:iCs/>
      <w:color w:val="404040" w:themeColor="text1" w:themeTint="BF"/>
    </w:rPr>
  </w:style>
  <w:style w:type="character" w:customStyle="1" w:styleId="QuoteChar">
    <w:name w:val="Quote Char"/>
    <w:basedOn w:val="DefaultParagraphFont"/>
    <w:link w:val="Quote"/>
    <w:uiPriority w:val="29"/>
    <w:rsid w:val="00383D68"/>
    <w:rPr>
      <w:i/>
      <w:iCs/>
      <w:color w:val="404040" w:themeColor="text1" w:themeTint="BF"/>
    </w:rPr>
  </w:style>
  <w:style w:type="paragraph" w:styleId="ListParagraph">
    <w:name w:val="List Paragraph"/>
    <w:basedOn w:val="Normal"/>
    <w:uiPriority w:val="34"/>
    <w:qFormat/>
    <w:rsid w:val="00383D68"/>
    <w:pPr>
      <w:ind w:left="720"/>
      <w:contextualSpacing/>
    </w:pPr>
  </w:style>
  <w:style w:type="character" w:styleId="IntenseEmphasis">
    <w:name w:val="Intense Emphasis"/>
    <w:basedOn w:val="DefaultParagraphFont"/>
    <w:uiPriority w:val="21"/>
    <w:qFormat/>
    <w:rsid w:val="00383D68"/>
    <w:rPr>
      <w:i/>
      <w:iCs/>
      <w:color w:val="0F4761" w:themeColor="accent1" w:themeShade="BF"/>
    </w:rPr>
  </w:style>
  <w:style w:type="paragraph" w:styleId="IntenseQuote">
    <w:name w:val="Intense Quote"/>
    <w:basedOn w:val="Normal"/>
    <w:next w:val="Normal"/>
    <w:link w:val="IntenseQuoteChar"/>
    <w:uiPriority w:val="30"/>
    <w:qFormat/>
    <w:rsid w:val="00383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D68"/>
    <w:rPr>
      <w:i/>
      <w:iCs/>
      <w:color w:val="0F4761" w:themeColor="accent1" w:themeShade="BF"/>
    </w:rPr>
  </w:style>
  <w:style w:type="character" w:styleId="IntenseReference">
    <w:name w:val="Intense Reference"/>
    <w:basedOn w:val="DefaultParagraphFont"/>
    <w:uiPriority w:val="32"/>
    <w:qFormat/>
    <w:rsid w:val="00383D68"/>
    <w:rPr>
      <w:b/>
      <w:bCs/>
      <w:smallCaps/>
      <w:color w:val="0F4761" w:themeColor="accent1" w:themeShade="BF"/>
      <w:spacing w:val="5"/>
    </w:rPr>
  </w:style>
  <w:style w:type="character" w:styleId="Hyperlink">
    <w:name w:val="Hyperlink"/>
    <w:basedOn w:val="DefaultParagraphFont"/>
    <w:uiPriority w:val="99"/>
    <w:unhideWhenUsed/>
    <w:rsid w:val="00383D68"/>
    <w:rPr>
      <w:color w:val="467886" w:themeColor="hyperlink"/>
      <w:u w:val="single"/>
    </w:rPr>
  </w:style>
  <w:style w:type="character" w:styleId="UnresolvedMention">
    <w:name w:val="Unresolved Mention"/>
    <w:basedOn w:val="DefaultParagraphFont"/>
    <w:uiPriority w:val="99"/>
    <w:semiHidden/>
    <w:unhideWhenUsed/>
    <w:rsid w:val="00383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checkpoint.com/v2/r01/___https:/go.reaganconsulting.com/e/898771/in-brian-deitz-338752285-/31mk2g4/2057620350/h/kUFIEIGL_YXDTcoBNrQZ1jxYUFzizkdZ240ZH8eXd00___.YzJ1OmlpYXY6YzpvOmRiMjU1MjhiOTRjMDlkM2NmMmI3NmJkOTQzYTc1NTQ5Ojc6YmU3YTpkNjlkMWI4YjI5Yjc1MGE4MzU3MjJjMTNiOWUxMDI5MWRiOTA3ODM4MTA5MWE3Y2E4ODY4Mjg1MDUwZWM5YzhiOmg6VDpG" TargetMode="External"/><Relationship Id="rId18" Type="http://schemas.openxmlformats.org/officeDocument/2006/relationships/image" Target="media/image7.jpe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s://protect.checkpoint.com/v2/r01/___https:/go.reaganconsulting.com/e/898771/2025-12-11/31mk2gj/2057620350/h/kUFIEIGL_YXDTcoBNrQZ1jxYUFzizkdZ240ZH8eXd00___.YzJ1OmlpYXY6YzpvOmRiMjU1MjhiOTRjMDlkM2NmMmI3NmJkOTQzYTc1NTQ5Ojc6ODk0YjpkODVkMjExM2EwOTExMmZlMGYyMWMzZTgyYTM3YzYwNjY2YzkxNzM2ZTRhYWQyOGMzYTIxZjgzYWFlNDFjYWZmOmg6VDpG" TargetMode="External"/><Relationship Id="rId34" Type="http://schemas.openxmlformats.org/officeDocument/2006/relationships/customXml" Target="../customXml/item2.xml"/><Relationship Id="rId7" Type="http://schemas.openxmlformats.org/officeDocument/2006/relationships/image" Target="media/image2.jpeg"/><Relationship Id="rId12" Type="http://schemas.openxmlformats.org/officeDocument/2006/relationships/hyperlink" Target="https://protect.checkpoint.com/v2/r01/___https:/go.reaganconsulting.com/e/898771/brian-deitz/31mk2g1/2057620350/h/kUFIEIGL_YXDTcoBNrQZ1jxYUFzizkdZ240ZH8eXd00___.YzJ1OmlpYXY6YzpvOmRiMjU1MjhiOTRjMDlkM2NmMmI3NmJkOTQzYTc1NTQ5Ojc6ZjU5Yjo3ODJkZmZhOTJlNzkxMjFlNzhhYzJhMGMzMWQzODBhMTE0NzQ4MTliYmUwYzcyNDYyZDFjNGU5ZmQyNzU5MGViOmg6VDpG" TargetMode="External"/><Relationship Id="rId17" Type="http://schemas.openxmlformats.org/officeDocument/2006/relationships/hyperlink" Target="https://protect.checkpoint.com/v2/r01/___https:/go.reaganconsulting.com/e/898771/l-898771-2023-12-11-31hmw4f/31mk2gb/2057620350/h/kUFIEIGL_YXDTcoBNrQZ1jxYUFzizkdZ240ZH8eXd00___.YzJ1OmlpYXY6YzpvOmRiMjU1MjhiOTRjMDlkM2NmMmI3NmJkOTQzYTc1NTQ5Ojc6OTJjODpiMjJkOTdhMGIzOTg2NjUxZTczNWRjNTJjNDk3NTEyN2M1MmQyZGNmYmI2YmJlZjE4YzljYzMwZWMzODQ4MzAzOmg6VDpG" TargetMode="External"/><Relationship Id="rId25" Type="http://schemas.openxmlformats.org/officeDocument/2006/relationships/hyperlink" Target="https://protect.checkpoint.com/v2/r01/___https:/go.reaganconsulting.com/e/898771/show-2BYfdYdDdbrst6lkFWx3Cp/31mk2gm/2057620350/h/kUFIEIGL_YXDTcoBNrQZ1jxYUFzizkdZ240ZH8eXd00___.YzJ1OmlpYXY6YzpvOmRiMjU1MjhiOTRjMDlkM2NmMmI3NmJkOTQzYTc1NTQ5Ojc6NDAyNTo0NzhmODNjNWVlNDVkOTUxZjE3OTM5MTY2MjhiM2JjMzM3OWI0MzNhYzQ4NmE2ZmI1ZGQ3OTY2MmIwNzZkMGFlOmg6VDpG" TargetMode="Externa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hyperlink" Target="https://protect.checkpoint.com/v2/r01/___https:/go.reaganconsulting.com/e/898771/l-898771-2023-12-11-31hmw4f/31mk2gb/2057620350/h/kUFIEIGL_YXDTcoBNrQZ1jxYUFzizkdZ240ZH8eXd00___.YzJ1OmlpYXY6YzpvOmRiMjU1MjhiOTRjMDlkM2NmMmI3NmJkOTQzYTc1NTQ5Ojc6YTVmMjpjZjRmODJhZWEyMDM5NjA1YWU2ZTc2YmVkMTAxNmQ4N2Q2NmZkOWE5ODMwZDU4MDA0NzUxY2NjMzEzNDZjMDUxOmg6VD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protect.checkpoint.com/v2/r01/___https:/go.reaganconsulting.com/e/898771/brian-deitz/31mk2g1/2057620350/h/kUFIEIGL_YXDTcoBNrQZ1jxYUFzizkdZ240ZH8eXd00___.YzJ1OmlpYXY6YzpvOmRiMjU1MjhiOTRjMDlkM2NmMmI3NmJkOTQzYTc1NTQ5Ojc6MjJhZTo1MTYyNDBlOTA2ZjA5ZDJkMjc1ZmNlYTBmZjFiZjNlYTAyMzA2M2JlMmY5N2ZhNDJiOGIzNTA2ZDI1NzYzODg5Omg6VDpG" TargetMode="Externa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hyperlink" Target="https://protect.checkpoint.com/v2/r01/___https:/go.reaganconsulting.com/e/898771/2025-12-11/31mk2fx/2057620350/h/kUFIEIGL_YXDTcoBNrQZ1jxYUFzizkdZ240ZH8eXd00___.YzJ1OmlpYXY6YzpvOmRiMjU1MjhiOTRjMDlkM2NmMmI3NmJkOTQzYTc1NTQ5Ojc6ZWRkZjo5ZjI2ZjBlOTY1MjI4ODNmNDU2OTc2MmNjZWE2N2Q4YTkzMTY2NGFiMGRkM2M5MDFmOWIwZTdkYThmNDM3NmI1Omg6VDpG" TargetMode="External"/><Relationship Id="rId15" Type="http://schemas.openxmlformats.org/officeDocument/2006/relationships/hyperlink" Target="mailto:brian@reaganconsulting.com" TargetMode="External"/><Relationship Id="rId23" Type="http://schemas.openxmlformats.org/officeDocument/2006/relationships/hyperlink" Target="mailto:info@reaganconsulting.com" TargetMode="External"/><Relationship Id="rId28" Type="http://schemas.openxmlformats.org/officeDocument/2006/relationships/image" Target="media/image12.png"/><Relationship Id="rId10" Type="http://schemas.openxmlformats.org/officeDocument/2006/relationships/image" Target="media/image4.jpeg"/><Relationship Id="rId19" Type="http://schemas.openxmlformats.org/officeDocument/2006/relationships/hyperlink" Target="https://protect.checkpoint.com/v2/r01/___https:/go.reaganconsulting.com/e/898771/ompany-reagan-consulting-inc--/31mk2gf/2057620350/h/kUFIEIGL_YXDTcoBNrQZ1jxYUFzizkdZ240ZH8eXd00___.YzJ1OmlpYXY6YzpvOmRiMjU1MjhiOTRjMDlkM2NmMmI3NmJkOTQzYTc1NTQ5Ojc6NmU0Yjo2ZmE1NjQyOWQwNWYwMjMyZGYzY2Y5ZmQxZjdlNTE5YzliMWNmNmU3MmVkZjY0NThhYTkwYzA0Mzc0NmZiY2ZmOmg6VDp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otect.checkpoint.com/v2/r01/___https:/go.reaganconsulting.com/e/898771/brian-deitz/31mk2g1/2057620350/h/kUFIEIGL_YXDTcoBNrQZ1jxYUFzizkdZ240ZH8eXd00___.YzJ1OmlpYXY6YzpvOmRiMjU1MjhiOTRjMDlkM2NmMmI3NmJkOTQzYTc1NTQ5Ojc6MGM5ZTpmOTc3NjlkYmZkYTlmZWMyYjEwMjlhMjJkZmZmOTAwNTBmMmViODBmOWU4NjA3NmQ0MjgxZmZlYzE0YjUzM2U3Omg6VDpG"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hyperlink" Target="https://protect.checkpoint.com/v2/r01/___https:/go.reaganconsulting.com/e/898771/-ReaganConsulting/31mk2gq/2057620350/h/kUFIEIGL_YXDTcoBNrQZ1jxYUFzizkdZ240ZH8eXd00___.YzJ1OmlpYXY6YzpvOmRiMjU1MjhiOTRjMDlkM2NmMmI3NmJkOTQzYTc1NTQ5Ojc6MWE0ZTozOTE3ZWIwODEzMTVkMjBhNmJhMzkxODY1MzQ4OGQzMDBkNTgxOTY5OWI4NmY5MDIwM2FmOWQ3MThjOTNmYjFhOmg6VDpG" TargetMode="External"/><Relationship Id="rId30" Type="http://schemas.openxmlformats.org/officeDocument/2006/relationships/hyperlink" Target="https://protect.checkpoint.com/v2/r01/___https:/go.reaganconsulting.com/emailpreferences?ehash=5c91623cd5d817aabef6b99a79774d8de592b568ff587f63ec5c9bade2eb3991&amp;email_id=2057620350&amp;epc_hash=ePABP_W1OeQPH_hakkjIFSAcFPDAuEJNZqbGUk_ktS4___.YzJ1OmlpYXY6YzpvOmRiMjU1MjhiOTRjMDlkM2NmMmI3NmJkOTQzYTc1NTQ5Ojc6YzRkOTphNWFiOGE1YTU5MTAyNzFjOTRmYjYwOWZlY2UyNzVjYWY5OWYxNWNlNTM1NzBlN2FkOTEyNTQ2YTc3ZmY3OTI2Omg6VDpG" TargetMode="External"/><Relationship Id="rId35" Type="http://schemas.openxmlformats.org/officeDocument/2006/relationships/customXml" Target="../customXml/item3.xml"/><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E56BDD520D894D959D5A0E4B6C3F5A" ma:contentTypeVersion="" ma:contentTypeDescription="Create a new document." ma:contentTypeScope="" ma:versionID="6a939dfac5228f7eafcc11fb8d863b51">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1D7917-13FF-4A1D-897B-97C5EEB153DB}"/>
</file>

<file path=customXml/itemProps2.xml><?xml version="1.0" encoding="utf-8"?>
<ds:datastoreItem xmlns:ds="http://schemas.openxmlformats.org/officeDocument/2006/customXml" ds:itemID="{8D155781-CD40-4943-93E8-FB8296D90C15}"/>
</file>

<file path=customXml/itemProps3.xml><?xml version="1.0" encoding="utf-8"?>
<ds:datastoreItem xmlns:ds="http://schemas.openxmlformats.org/officeDocument/2006/customXml" ds:itemID="{0F650A6E-106A-4151-99BF-6CC0D838C9BD}"/>
</file>

<file path=docProps/app.xml><?xml version="1.0" encoding="utf-8"?>
<Properties xmlns="http://schemas.openxmlformats.org/officeDocument/2006/extended-properties" xmlns:vt="http://schemas.openxmlformats.org/officeDocument/2006/docPropsVTypes">
  <Template>Normal</Template>
  <TotalTime>3</TotalTime>
  <Pages>5</Pages>
  <Words>1379</Words>
  <Characters>7240</Characters>
  <Application>Microsoft Office Word</Application>
  <DocSecurity>0</DocSecurity>
  <Lines>206</Lines>
  <Paragraphs>41</Paragraphs>
  <ScaleCrop>false</ScaleCrop>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Hayden</dc:creator>
  <cp:keywords/>
  <dc:description/>
  <cp:lastModifiedBy>Molly Hayden</cp:lastModifiedBy>
  <cp:revision>1</cp:revision>
  <dcterms:created xsi:type="dcterms:W3CDTF">2025-12-15T14:35:00Z</dcterms:created>
  <dcterms:modified xsi:type="dcterms:W3CDTF">2025-12-15T14:38:00Z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54d91084-8a31-4f82-b217-59c8b513aff1</vt:lpwstr>
  </property>
  <property fmtid="{D5CDD505-2E9C-101B-9397-08002B2CF9AE}" pid="3" name="ContentTypeId">
    <vt:lpwstr>0x0101003CE56BDD520D894D959D5A0E4B6C3F5A</vt:lpwstr>
  </property>
</Properties>
</file>